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BE4B" w14:textId="7FF0AEC6" w:rsidR="002A4E06" w:rsidRPr="00251FC0" w:rsidRDefault="002A4E06" w:rsidP="002A4E06">
      <w:pPr>
        <w:pStyle w:val="AF-tekst"/>
        <w:numPr>
          <w:ilvl w:val="0"/>
          <w:numId w:val="13"/>
        </w:numPr>
        <w:rPr>
          <w:b/>
        </w:rPr>
      </w:pPr>
      <w:bookmarkStart w:id="0" w:name="_GoBack"/>
      <w:bookmarkEnd w:id="0"/>
      <w:r w:rsidRPr="00251FC0">
        <w:rPr>
          <w:b/>
        </w:rPr>
        <w:t xml:space="preserve">Rozbudowa infrastruktury portowej oraz poprawa dostępności </w:t>
      </w:r>
      <w:r w:rsidR="00D821FC">
        <w:rPr>
          <w:b/>
        </w:rPr>
        <w:t xml:space="preserve">transportowej </w:t>
      </w:r>
      <w:r w:rsidRPr="00251FC0">
        <w:rPr>
          <w:b/>
        </w:rPr>
        <w:t>portu w Ustce</w:t>
      </w:r>
    </w:p>
    <w:p w14:paraId="42E52EFE" w14:textId="3C66132F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Poprawa dostępu do portu od strony morza </w:t>
      </w:r>
      <w:r w:rsidR="00683FA2">
        <w:t>poprzez przebudowę istniejącego</w:t>
      </w:r>
      <w:r w:rsidR="00FF232F">
        <w:t xml:space="preserve"> </w:t>
      </w:r>
      <w:r w:rsidR="00683FA2">
        <w:t xml:space="preserve">układu </w:t>
      </w:r>
      <w:r w:rsidR="00FF232F">
        <w:t>falochronów portowych</w:t>
      </w:r>
    </w:p>
    <w:p w14:paraId="6D48A7C1" w14:textId="57355AEE" w:rsidR="00D14F66" w:rsidRDefault="00B5364E" w:rsidP="00D14F66">
      <w:pPr>
        <w:pStyle w:val="AF-tekst"/>
        <w:numPr>
          <w:ilvl w:val="1"/>
          <w:numId w:val="13"/>
        </w:numPr>
        <w:ind w:left="1134" w:hanging="774"/>
      </w:pPr>
      <w:r>
        <w:t>P</w:t>
      </w:r>
      <w:r w:rsidR="004F5837">
        <w:t>oprawa</w:t>
      </w:r>
      <w:r w:rsidR="00D14F66">
        <w:t xml:space="preserve"> parametrów nawigacyjnych na</w:t>
      </w:r>
      <w:r w:rsidR="00865FC2">
        <w:t xml:space="preserve"> istniejącym</w:t>
      </w:r>
      <w:r w:rsidR="00D14F66">
        <w:t xml:space="preserve"> kanale portowym i w wewnętrznych basenach portowych</w:t>
      </w:r>
      <w:r w:rsidR="00255C4C">
        <w:t>, do poziomu 4,5 m, sprzed 2011 roku.</w:t>
      </w:r>
      <w:r w:rsidR="00D14F66">
        <w:t xml:space="preserve"> </w:t>
      </w:r>
    </w:p>
    <w:p w14:paraId="17587D05" w14:textId="77777777" w:rsidR="00D14F66" w:rsidRDefault="00D14F66" w:rsidP="00D14F66">
      <w:pPr>
        <w:pStyle w:val="AF-tekst"/>
        <w:numPr>
          <w:ilvl w:val="1"/>
          <w:numId w:val="13"/>
        </w:numPr>
        <w:ind w:left="1134" w:hanging="774"/>
      </w:pPr>
      <w:r>
        <w:t>Zwiększenie długości nowych i remont istniejących nabrzeży</w:t>
      </w:r>
    </w:p>
    <w:p w14:paraId="38C0DD7E" w14:textId="581E6225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Rozwój układu komunikacyjnego zwiększającego dostępność drogową do portu w Ustce</w:t>
      </w:r>
      <w:r w:rsidR="00967E3B">
        <w:t xml:space="preserve"> oraz zapewnienie miejsc parkingowych dla samochodów osobowych, turystycznych (kampery) i rowerów,</w:t>
      </w:r>
      <w:r>
        <w:t xml:space="preserve"> </w:t>
      </w:r>
    </w:p>
    <w:p w14:paraId="59FDF8D9" w14:textId="77777777" w:rsidR="002A4E06" w:rsidRDefault="00D821FC" w:rsidP="002A4E06">
      <w:pPr>
        <w:pStyle w:val="AF-tekst"/>
        <w:numPr>
          <w:ilvl w:val="1"/>
          <w:numId w:val="13"/>
        </w:numPr>
        <w:ind w:left="1134" w:hanging="774"/>
      </w:pPr>
      <w:r>
        <w:t>M</w:t>
      </w:r>
      <w:r w:rsidR="002A4E06">
        <w:t>odernizacja dostępu kolejowego do terenów portowych dla obsługi ładunków oraz pasażerów</w:t>
      </w:r>
    </w:p>
    <w:p w14:paraId="7F408102" w14:textId="1A524AB0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Zwiększenie liczby miejsc cumowniczych dla jednostek turystycznych</w:t>
      </w:r>
      <w:r w:rsidR="005B355F">
        <w:t xml:space="preserve"> oraz</w:t>
      </w:r>
      <w:r w:rsidR="00967E3B">
        <w:t xml:space="preserve"> stworzenie warunków dla kompleksowej obsługi jednostek, umożliwiającej zimowanie jachtów, naprawy sprzętu i ożaglowania, a także rozwój zaplecza sanitarnego i gastronomicznego, dostosowanego do potrzeb użytkowników jednostek rekreacyjnych. </w:t>
      </w:r>
    </w:p>
    <w:p w14:paraId="2F57CAD5" w14:textId="77777777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Dostosowanie infrastruktury i zaplecza portu Ustka do standardów portu serwisowego dla morskiej energetyki wiatrowej </w:t>
      </w:r>
    </w:p>
    <w:p w14:paraId="560D28F1" w14:textId="77777777" w:rsidR="00D14F66" w:rsidRDefault="00D14F66" w:rsidP="00D14F66">
      <w:pPr>
        <w:pStyle w:val="AF-tekst"/>
        <w:numPr>
          <w:ilvl w:val="1"/>
          <w:numId w:val="13"/>
        </w:numPr>
        <w:ind w:left="1134" w:hanging="774"/>
      </w:pPr>
      <w:r>
        <w:t>Pozyskanie nowych terenów rozwojowych dla portu (kierunek zachodni) oraz dostosowanie ich do realizacji określonych funkcji portowych</w:t>
      </w:r>
    </w:p>
    <w:p w14:paraId="51E87E0A" w14:textId="77777777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Wprowadzenie ładu przestrzennego polegającego na grupowaniu aktywności portowych </w:t>
      </w:r>
    </w:p>
    <w:p w14:paraId="6A679CA7" w14:textId="77777777" w:rsidR="00B406AF" w:rsidRDefault="00B406AF" w:rsidP="00B406AF">
      <w:pPr>
        <w:pStyle w:val="AF-tekst"/>
        <w:numPr>
          <w:ilvl w:val="1"/>
          <w:numId w:val="13"/>
        </w:numPr>
        <w:ind w:left="1134" w:hanging="774"/>
      </w:pPr>
      <w:r>
        <w:t>Poprawa efektywności zarządzania portem w kierunku pełnego wykorzystania jego zasobów operacyjnych</w:t>
      </w:r>
    </w:p>
    <w:p w14:paraId="5F383354" w14:textId="77777777" w:rsidR="002A4E06" w:rsidRDefault="002A4E06" w:rsidP="00D14F66">
      <w:pPr>
        <w:pStyle w:val="AF-tekst"/>
        <w:ind w:left="1134"/>
      </w:pPr>
    </w:p>
    <w:p w14:paraId="0A15F45C" w14:textId="77777777" w:rsidR="002A4E06" w:rsidRPr="00251FC0" w:rsidRDefault="000F534E" w:rsidP="002A4E06">
      <w:pPr>
        <w:pStyle w:val="AF-tekst"/>
        <w:numPr>
          <w:ilvl w:val="0"/>
          <w:numId w:val="13"/>
        </w:numPr>
        <w:rPr>
          <w:b/>
        </w:rPr>
      </w:pPr>
      <w:r>
        <w:rPr>
          <w:b/>
        </w:rPr>
        <w:t xml:space="preserve">Utrzymanie zdywersyfikowanej oraz </w:t>
      </w:r>
      <w:r w:rsidR="002A4E06">
        <w:rPr>
          <w:b/>
        </w:rPr>
        <w:t>z</w:t>
      </w:r>
      <w:r w:rsidR="002A4E06" w:rsidRPr="00251FC0">
        <w:rPr>
          <w:b/>
        </w:rPr>
        <w:t>równoważon</w:t>
      </w:r>
      <w:r w:rsidR="002A4E06">
        <w:rPr>
          <w:b/>
        </w:rPr>
        <w:t>e</w:t>
      </w:r>
      <w:r>
        <w:rPr>
          <w:b/>
        </w:rPr>
        <w:t>j</w:t>
      </w:r>
      <w:r w:rsidR="002A4E06" w:rsidRPr="00251FC0">
        <w:rPr>
          <w:b/>
        </w:rPr>
        <w:t xml:space="preserve"> funkcjonalnie </w:t>
      </w:r>
      <w:r>
        <w:rPr>
          <w:b/>
        </w:rPr>
        <w:t>aktywności</w:t>
      </w:r>
      <w:r w:rsidR="002A4E06">
        <w:rPr>
          <w:b/>
        </w:rPr>
        <w:t xml:space="preserve"> portu </w:t>
      </w:r>
      <w:r>
        <w:rPr>
          <w:b/>
        </w:rPr>
        <w:t xml:space="preserve">morskiego </w:t>
      </w:r>
      <w:r w:rsidR="002A4E06">
        <w:rPr>
          <w:b/>
        </w:rPr>
        <w:t>w Ustce</w:t>
      </w:r>
    </w:p>
    <w:p w14:paraId="074C34E8" w14:textId="1BBD1F66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Utrzymanie i rozwój funkcji rybackiej</w:t>
      </w:r>
      <w:r w:rsidR="00255C4C">
        <w:t>,</w:t>
      </w:r>
      <w:r w:rsidR="005D0190">
        <w:t xml:space="preserve"> jako kluczowej funkcji portu w Ustce,</w:t>
      </w:r>
      <w:r>
        <w:t xml:space="preserve"> </w:t>
      </w:r>
      <w:r w:rsidR="00AD7489">
        <w:t xml:space="preserve">poprzez organizację i rozbudowę zaplecza magazynowo-logistycznego, w tym poprawę warunków technicznych i bezpieczeństwa przechowywania sprzętu połowowego, zapewnienie zaplecza sanitarnego, </w:t>
      </w:r>
      <w:r w:rsidR="00FA55DC">
        <w:t>budowę pływającej stacji paliw.</w:t>
      </w:r>
    </w:p>
    <w:p w14:paraId="7DA73866" w14:textId="1C0E937D" w:rsidR="0057361F" w:rsidRDefault="00AD7489" w:rsidP="000A2F04">
      <w:pPr>
        <w:pStyle w:val="AF-tekst"/>
        <w:numPr>
          <w:ilvl w:val="1"/>
          <w:numId w:val="13"/>
        </w:numPr>
        <w:ind w:left="1134" w:hanging="774"/>
      </w:pPr>
      <w:r>
        <w:t>Promocja kultury spożycia ryb i produktów rybnych na bazie istniejącej infrastruktury (Targu Rybnego w Ustce)</w:t>
      </w:r>
      <w:r w:rsidR="00FA55DC">
        <w:t>.</w:t>
      </w:r>
    </w:p>
    <w:p w14:paraId="119666B3" w14:textId="132B93FF" w:rsidR="000A2F04" w:rsidRDefault="000A2F04" w:rsidP="000A2F04">
      <w:pPr>
        <w:pStyle w:val="AF-tekst"/>
        <w:numPr>
          <w:ilvl w:val="1"/>
          <w:numId w:val="13"/>
        </w:numPr>
        <w:ind w:left="1134" w:hanging="774"/>
      </w:pPr>
      <w:r>
        <w:t>Tworzenie warunków dla rozwoju jachtingu, sportów wodnych i edukacji morskiej</w:t>
      </w:r>
      <w:r w:rsidR="00C66FA1">
        <w:t xml:space="preserve"> oraz dążenie do integracji oferty żeglarskiej portu z ofertą sieci marin Południowego Bałtyku. </w:t>
      </w:r>
      <w:r>
        <w:t xml:space="preserve"> </w:t>
      </w:r>
    </w:p>
    <w:p w14:paraId="51EEA044" w14:textId="733EC062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Poszerzenie oferty turystycznych rejsów jednodniowych oraz uruchomieni</w:t>
      </w:r>
      <w:r w:rsidR="00812AA2">
        <w:t>e</w:t>
      </w:r>
      <w:r>
        <w:t xml:space="preserve"> pasażerskich połączeń promowych</w:t>
      </w:r>
      <w:r w:rsidR="00FA55DC">
        <w:t>.</w:t>
      </w:r>
    </w:p>
    <w:p w14:paraId="4A87363B" w14:textId="1E80B71E" w:rsidR="00812AA2" w:rsidRDefault="00812AA2" w:rsidP="00812AA2">
      <w:pPr>
        <w:pStyle w:val="AF-tekst"/>
        <w:numPr>
          <w:ilvl w:val="1"/>
          <w:numId w:val="13"/>
        </w:numPr>
        <w:ind w:left="1134" w:hanging="774"/>
      </w:pPr>
      <w:r>
        <w:t>Stworzenie warunków dla powstania innych form turystyki morskiej</w:t>
      </w:r>
      <w:r w:rsidR="00FA55DC">
        <w:t>.</w:t>
      </w:r>
    </w:p>
    <w:p w14:paraId="403853FE" w14:textId="3072BB5A" w:rsidR="002A4E06" w:rsidRDefault="000F534E" w:rsidP="002A4E06">
      <w:pPr>
        <w:pStyle w:val="AF-tekst"/>
        <w:numPr>
          <w:ilvl w:val="1"/>
          <w:numId w:val="13"/>
        </w:numPr>
        <w:ind w:left="1134" w:hanging="774"/>
      </w:pPr>
      <w:r>
        <w:t>Systematyczny rozwój przeładunków portowych aktywizujących zasoby infrastrukturalne portu w Ustce</w:t>
      </w:r>
      <w:r w:rsidR="00FA55DC">
        <w:t>.</w:t>
      </w:r>
    </w:p>
    <w:p w14:paraId="4BFB19F4" w14:textId="0BC76188" w:rsidR="000F534E" w:rsidRDefault="000F534E" w:rsidP="000F534E">
      <w:pPr>
        <w:pStyle w:val="AF-tekst"/>
        <w:numPr>
          <w:ilvl w:val="1"/>
          <w:numId w:val="13"/>
        </w:numPr>
        <w:ind w:left="1134" w:hanging="774"/>
      </w:pPr>
      <w:r>
        <w:t>Utrzymanie funkcji wojskowych</w:t>
      </w:r>
      <w:r w:rsidR="008C1FB2">
        <w:t xml:space="preserve"> portu</w:t>
      </w:r>
      <w:r w:rsidR="00FA55DC">
        <w:t>.</w:t>
      </w:r>
    </w:p>
    <w:p w14:paraId="7B1F87F1" w14:textId="69521A1E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lastRenderedPageBreak/>
        <w:t xml:space="preserve">Rozwój funkcji portu w </w:t>
      </w:r>
      <w:r w:rsidR="00046DEB">
        <w:t xml:space="preserve">zakresie stworzenia bazy serwisowej wspomagającej utrzymanie ruchu morskich farm wiatrowych, obejmującej </w:t>
      </w:r>
      <w:r w:rsidR="0057361F">
        <w:t>miejsca cumownicze dla jednostek</w:t>
      </w:r>
      <w:r w:rsidR="00046DEB">
        <w:t xml:space="preserve"> serwisowej, zaplecze magazynowe, techniczne i socjalne dla pracowników odpowiedzialnych za serwis turbin wiatrowych.</w:t>
      </w:r>
      <w:r>
        <w:t xml:space="preserve"> </w:t>
      </w:r>
    </w:p>
    <w:p w14:paraId="03AF34BF" w14:textId="416A5A0E" w:rsidR="000F534E" w:rsidRDefault="000F534E" w:rsidP="00812AA2">
      <w:pPr>
        <w:pStyle w:val="AF-tekst"/>
        <w:numPr>
          <w:ilvl w:val="1"/>
          <w:numId w:val="13"/>
        </w:numPr>
        <w:ind w:left="1134" w:hanging="774"/>
      </w:pPr>
      <w:commentRangeStart w:id="1"/>
      <w:r>
        <w:t>Stymulowanie rozwoju innowacyjnych branż, w tym projektów badawczo-rozwojowych</w:t>
      </w:r>
      <w:r w:rsidR="00B406AF">
        <w:t>, zdefiniowanych w ramach Inteligentnych Specjalizacji Pomorza „Technologie offshore i logistyczno-portowe”</w:t>
      </w:r>
      <w:r w:rsidR="008C1FB2">
        <w:t xml:space="preserve"> oraz </w:t>
      </w:r>
      <w:r>
        <w:t>w obszarze zrównoważonego wykorzystania zasobów morskich, tzw. „Błękitny Wzrost” (</w:t>
      </w:r>
      <w:r>
        <w:rPr>
          <w:i/>
        </w:rPr>
        <w:t>Blue Growth)</w:t>
      </w:r>
      <w:r w:rsidR="00FA55DC">
        <w:rPr>
          <w:i/>
        </w:rPr>
        <w:t>.</w:t>
      </w:r>
      <w:commentRangeEnd w:id="1"/>
      <w:r w:rsidR="00C76D85">
        <w:rPr>
          <w:rStyle w:val="Odwoaniedokomentarza"/>
          <w:rFonts w:ascii="Times New Roman" w:eastAsiaTheme="minorHAnsi" w:hAnsi="Times New Roman" w:cstheme="minorBidi"/>
          <w:color w:val="auto"/>
        </w:rPr>
        <w:commentReference w:id="1"/>
      </w:r>
    </w:p>
    <w:p w14:paraId="7387312A" w14:textId="280DA84C" w:rsidR="000F534E" w:rsidRDefault="000F534E" w:rsidP="000F534E">
      <w:pPr>
        <w:pStyle w:val="AF-tekst"/>
        <w:numPr>
          <w:ilvl w:val="1"/>
          <w:numId w:val="13"/>
        </w:numPr>
        <w:ind w:left="1134" w:hanging="774"/>
      </w:pPr>
      <w:r>
        <w:t>Konsekwentnie prowadzona oraz dedykowana promocja portu uwzgledniająca szeroki wachlarz oferowanych usług</w:t>
      </w:r>
      <w:r w:rsidR="00FA55DC">
        <w:t>.</w:t>
      </w:r>
    </w:p>
    <w:p w14:paraId="5432E63F" w14:textId="77777777" w:rsidR="002A4E06" w:rsidRDefault="00812AA2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Wspieranie </w:t>
      </w:r>
      <w:r w:rsidR="002A4E06">
        <w:t>współprac</w:t>
      </w:r>
      <w:r>
        <w:t>y</w:t>
      </w:r>
      <w:r w:rsidR="002A4E06">
        <w:t xml:space="preserve"> zarządu portu z samorządami i inst</w:t>
      </w:r>
      <w:r>
        <w:t>ytucjami otoczenia biznesu oraz</w:t>
      </w:r>
      <w:r w:rsidR="002A4E06">
        <w:t xml:space="preserve"> kluczowymi ośrodkami gospodarczymi subregionu </w:t>
      </w:r>
      <w:r>
        <w:t>dla</w:t>
      </w:r>
      <w:r w:rsidR="002A4E06">
        <w:t xml:space="preserve"> osiągnięcia efektu synergii </w:t>
      </w:r>
      <w:r w:rsidR="00D14F66">
        <w:br/>
      </w:r>
      <w:r w:rsidR="002A4E06">
        <w:t>w działaniach gospodarczych i turystycznych.</w:t>
      </w:r>
    </w:p>
    <w:p w14:paraId="6E4022AB" w14:textId="2EFE43F4" w:rsidR="00B406AF" w:rsidRDefault="00B406AF" w:rsidP="00B406AF">
      <w:pPr>
        <w:pStyle w:val="AF-tekst"/>
        <w:numPr>
          <w:ilvl w:val="1"/>
          <w:numId w:val="13"/>
        </w:numPr>
        <w:ind w:left="1134" w:hanging="774"/>
      </w:pPr>
      <w:r>
        <w:t xml:space="preserve">Rozwój zaplecza biurowego, szkoleniowego i konferencyjnego w skali optymalnej dla potrzeb lokalnych </w:t>
      </w:r>
      <w:r w:rsidR="00113136">
        <w:t>podmiotów</w:t>
      </w:r>
      <w:r>
        <w:t xml:space="preserve"> związanych z gospodarką morską</w:t>
      </w:r>
      <w:r w:rsidR="00FA55DC">
        <w:t>.</w:t>
      </w:r>
    </w:p>
    <w:p w14:paraId="3FB7E7DD" w14:textId="77777777" w:rsidR="00D14F66" w:rsidRDefault="00D14F66" w:rsidP="00D14F66">
      <w:pPr>
        <w:pStyle w:val="AF-tekst"/>
        <w:ind w:left="1134"/>
      </w:pPr>
    </w:p>
    <w:p w14:paraId="0D46CF1F" w14:textId="77777777" w:rsidR="002A4E06" w:rsidRPr="00251FC0" w:rsidRDefault="002A4E06" w:rsidP="002A4E06">
      <w:pPr>
        <w:pStyle w:val="AF-tekst"/>
        <w:numPr>
          <w:ilvl w:val="0"/>
          <w:numId w:val="13"/>
        </w:numPr>
        <w:rPr>
          <w:b/>
          <w:szCs w:val="28"/>
        </w:rPr>
      </w:pPr>
      <w:r w:rsidRPr="00251FC0">
        <w:rPr>
          <w:b/>
          <w:szCs w:val="28"/>
        </w:rPr>
        <w:t xml:space="preserve">Poprawa poziomu bezpieczeństwa oraz standardu obsługi użytkowników oraz klientów portu </w:t>
      </w:r>
    </w:p>
    <w:p w14:paraId="708496D3" w14:textId="6B81A109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Zmniejszenie falowania w akwenach portowych</w:t>
      </w:r>
      <w:r w:rsidR="00462C82">
        <w:t xml:space="preserve"> zagrażającego jednostkom rybackim </w:t>
      </w:r>
      <w:r w:rsidR="00462C82">
        <w:br/>
        <w:t>i turystycznym stacjonującym w porcie</w:t>
      </w:r>
      <w:r w:rsidR="00FA55DC">
        <w:t>.</w:t>
      </w:r>
    </w:p>
    <w:p w14:paraId="299B1032" w14:textId="670BB55A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Utrzymanie funkcji ratowniczej </w:t>
      </w:r>
      <w:r w:rsidR="00D14F66">
        <w:t>portu</w:t>
      </w:r>
      <w:r w:rsidR="00FA55DC">
        <w:t>.</w:t>
      </w:r>
    </w:p>
    <w:p w14:paraId="3CC9053D" w14:textId="088C7C71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Ustanowienie portu morskiego w Ustce jako portu schronienia po dokonaniu przebudowy </w:t>
      </w:r>
      <w:r w:rsidR="0057361F">
        <w:t>istniejącego układu falochronów portowych.</w:t>
      </w:r>
    </w:p>
    <w:p w14:paraId="06DABC0C" w14:textId="47392ADE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Rozbudowa systemu monitoringu w porcie</w:t>
      </w:r>
      <w:r w:rsidR="00FA55DC">
        <w:t>.</w:t>
      </w:r>
    </w:p>
    <w:p w14:paraId="106CC565" w14:textId="772E5312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Poprawa warunków obsługi </w:t>
      </w:r>
      <w:r w:rsidR="00D14F66">
        <w:t xml:space="preserve">turystów przybywających do Ustki </w:t>
      </w:r>
      <w:r>
        <w:t>jednost</w:t>
      </w:r>
      <w:r w:rsidR="00D14F66">
        <w:t>kami</w:t>
      </w:r>
      <w:r>
        <w:t xml:space="preserve"> turystyczny</w:t>
      </w:r>
      <w:r w:rsidR="00D14F66">
        <w:t>mi</w:t>
      </w:r>
      <w:r w:rsidR="00FA55DC">
        <w:t>.</w:t>
      </w:r>
    </w:p>
    <w:p w14:paraId="37DD6D89" w14:textId="4735E43B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>Poprawa bezpieczeństwa w porcie pod kątem obsługi ruchu turystycznego</w:t>
      </w:r>
      <w:r w:rsidR="00FA55DC">
        <w:t>.</w:t>
      </w:r>
    </w:p>
    <w:p w14:paraId="44C0034D" w14:textId="7A24919D" w:rsidR="002A4E06" w:rsidRDefault="005B355F" w:rsidP="002A4E06">
      <w:pPr>
        <w:pStyle w:val="AF-tekst"/>
        <w:numPr>
          <w:ilvl w:val="1"/>
          <w:numId w:val="13"/>
        </w:numPr>
        <w:ind w:left="1134" w:hanging="774"/>
      </w:pPr>
      <w:r>
        <w:t>Zapewnienie wysokich standardów środowiskowych poprzez umożliwienie odbioru ścieków i odpadów z jednostek rekreacyjnych, w celu ich utylizacji zgodn</w:t>
      </w:r>
      <w:r w:rsidR="00FA55DC">
        <w:t>ie z obowiązującymi przepisami.</w:t>
      </w:r>
    </w:p>
    <w:p w14:paraId="154B7558" w14:textId="77EE5C7E" w:rsidR="002A4E06" w:rsidRDefault="002A4E06" w:rsidP="002A4E06">
      <w:pPr>
        <w:pStyle w:val="AF-tekst"/>
        <w:numPr>
          <w:ilvl w:val="1"/>
          <w:numId w:val="13"/>
        </w:numPr>
        <w:ind w:left="1134" w:hanging="774"/>
      </w:pPr>
      <w:r>
        <w:t xml:space="preserve">Realizacja działań </w:t>
      </w:r>
      <w:r w:rsidR="005B355F">
        <w:t>ukierunkowanych na redukcję emisji zanieczyszczeń z jednostek pływających oraz rozwój infrastruktury ładowania energią elektryczną jednostek o napędzie elektrycznym i hybrydowym  oraz kontynuacja działań na rzecz poprawy efektywności energetycznej napędów jednostek rybackich</w:t>
      </w:r>
      <w:r w:rsidR="00FA55DC">
        <w:t>.</w:t>
      </w:r>
    </w:p>
    <w:p w14:paraId="06DF582C" w14:textId="77777777" w:rsidR="00AF2114" w:rsidRDefault="00AF2114" w:rsidP="000A2F04">
      <w:pPr>
        <w:pStyle w:val="AF-tekst"/>
        <w:ind w:left="360"/>
      </w:pPr>
    </w:p>
    <w:p w14:paraId="414642DC" w14:textId="77777777" w:rsidR="008B4BFE" w:rsidRDefault="008B4BFE" w:rsidP="00996CA1">
      <w:pPr>
        <w:pStyle w:val="AF-tekst"/>
      </w:pPr>
    </w:p>
    <w:sectPr w:rsidR="008B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cin Włodarski" w:date="2019-06-19T15:30:00Z" w:initials="MW">
    <w:p w14:paraId="0F4D4F15" w14:textId="5E804E4F" w:rsidR="00C76D85" w:rsidRDefault="00C76D85">
      <w:pPr>
        <w:pStyle w:val="Tekstkomentarza"/>
      </w:pPr>
      <w:r>
        <w:rPr>
          <w:rStyle w:val="Odwoaniedokomentarza"/>
        </w:rPr>
        <w:annotationRef/>
      </w:r>
      <w:r>
        <w:t>Podczas spotkania padło stwierdzenie, że cel powinien być spójny z działaniami przewidzianymi w planie zagospodarowania obszarów morskich. Uszczegółowienie planu narzuca ograniczenia związane z realizacją niektórych działań w odniesieniu do obszarów hodowli ryb i tarlisk, natomiast nie wyklucza działań B+R, zdefiniowanych w ISP3.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4D4F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193C"/>
    <w:multiLevelType w:val="multilevel"/>
    <w:tmpl w:val="7BD65E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AF-naglowek-2"/>
      <w:isLgl/>
      <w:lvlText w:val="%1.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F-naglowek-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F854B2"/>
    <w:multiLevelType w:val="hybridMultilevel"/>
    <w:tmpl w:val="BC4E9A26"/>
    <w:lvl w:ilvl="0" w:tplc="4BA09CA0">
      <w:start w:val="1"/>
      <w:numFmt w:val="bullet"/>
      <w:pStyle w:val="AF-punktor-4"/>
      <w:lvlText w:val=""/>
      <w:lvlJc w:val="left"/>
      <w:pPr>
        <w:ind w:left="360" w:hanging="360"/>
      </w:pPr>
      <w:rPr>
        <w:rFonts w:ascii="Symbol" w:hAnsi="Symbol" w:hint="default"/>
        <w:b w:val="0"/>
        <w:color w:val="E4671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B331D"/>
    <w:multiLevelType w:val="hybridMultilevel"/>
    <w:tmpl w:val="6D860884"/>
    <w:lvl w:ilvl="0" w:tplc="268A016C">
      <w:start w:val="1"/>
      <w:numFmt w:val="bullet"/>
      <w:pStyle w:val="AF-punktor-1"/>
      <w:lvlText w:val=""/>
      <w:lvlJc w:val="left"/>
      <w:pPr>
        <w:ind w:left="360" w:hanging="360"/>
      </w:pPr>
      <w:rPr>
        <w:rFonts w:ascii="Symbol" w:hAnsi="Symbol" w:hint="default"/>
        <w:b w:val="0"/>
        <w:color w:val="E4671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71F00"/>
    <w:multiLevelType w:val="hybridMultilevel"/>
    <w:tmpl w:val="4426BAA4"/>
    <w:lvl w:ilvl="0" w:tplc="B010DA78">
      <w:start w:val="1"/>
      <w:numFmt w:val="bullet"/>
      <w:pStyle w:val="AF-punktor-3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E4671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E32FC"/>
    <w:multiLevelType w:val="multilevel"/>
    <w:tmpl w:val="2DCE9052"/>
    <w:lvl w:ilvl="0">
      <w:start w:val="1"/>
      <w:numFmt w:val="decimal"/>
      <w:pStyle w:val="AF-naglowek-1-pkt"/>
      <w:lvlText w:val="%1"/>
      <w:lvlJc w:val="left"/>
      <w:pPr>
        <w:ind w:left="432" w:hanging="432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A2C71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Włodarski">
    <w15:presenceInfo w15:providerId="AD" w15:userId="S-1-5-21-3134717169-669639909-1412674652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06"/>
    <w:rsid w:val="00046DEB"/>
    <w:rsid w:val="000A2F04"/>
    <w:rsid w:val="000D2B9C"/>
    <w:rsid w:val="000F534E"/>
    <w:rsid w:val="00113136"/>
    <w:rsid w:val="001204A4"/>
    <w:rsid w:val="001B625E"/>
    <w:rsid w:val="001C4F31"/>
    <w:rsid w:val="00243BE1"/>
    <w:rsid w:val="00255C4C"/>
    <w:rsid w:val="002A4E06"/>
    <w:rsid w:val="003D25A9"/>
    <w:rsid w:val="00462C82"/>
    <w:rsid w:val="00464B43"/>
    <w:rsid w:val="00490116"/>
    <w:rsid w:val="004F5837"/>
    <w:rsid w:val="0057361F"/>
    <w:rsid w:val="005B355F"/>
    <w:rsid w:val="005D0190"/>
    <w:rsid w:val="00615A8E"/>
    <w:rsid w:val="00683FA2"/>
    <w:rsid w:val="006E3C00"/>
    <w:rsid w:val="00726A02"/>
    <w:rsid w:val="007E7A92"/>
    <w:rsid w:val="00812AA2"/>
    <w:rsid w:val="0085396B"/>
    <w:rsid w:val="00865FC2"/>
    <w:rsid w:val="00866E53"/>
    <w:rsid w:val="008B4BFE"/>
    <w:rsid w:val="008C1FB2"/>
    <w:rsid w:val="0090080E"/>
    <w:rsid w:val="0090499F"/>
    <w:rsid w:val="00967E3B"/>
    <w:rsid w:val="00996CA1"/>
    <w:rsid w:val="009B75A0"/>
    <w:rsid w:val="00A054A3"/>
    <w:rsid w:val="00A0691A"/>
    <w:rsid w:val="00A72598"/>
    <w:rsid w:val="00AD7489"/>
    <w:rsid w:val="00AF2114"/>
    <w:rsid w:val="00B406AF"/>
    <w:rsid w:val="00B5364E"/>
    <w:rsid w:val="00B61B15"/>
    <w:rsid w:val="00BC30F6"/>
    <w:rsid w:val="00C063CD"/>
    <w:rsid w:val="00C336E9"/>
    <w:rsid w:val="00C66FA1"/>
    <w:rsid w:val="00C76D85"/>
    <w:rsid w:val="00CA2B91"/>
    <w:rsid w:val="00D14F66"/>
    <w:rsid w:val="00D821FC"/>
    <w:rsid w:val="00D94E06"/>
    <w:rsid w:val="00DF6742"/>
    <w:rsid w:val="00EC7232"/>
    <w:rsid w:val="00F84D80"/>
    <w:rsid w:val="00FA55DC"/>
    <w:rsid w:val="00FF136F"/>
    <w:rsid w:val="00FF232F"/>
    <w:rsid w:val="00FF62DF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23C"/>
  <w15:docId w15:val="{193AA297-FE8C-4982-A120-EA0E5761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A92"/>
    <w:pPr>
      <w:spacing w:after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A92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7A92"/>
    <w:pPr>
      <w:keepNext/>
      <w:keepLines/>
      <w:spacing w:before="6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A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A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7A9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table" w:customStyle="1" w:styleId="ModalConcept">
    <w:name w:val="Modal Concept"/>
    <w:basedOn w:val="Standardowy"/>
    <w:uiPriority w:val="99"/>
    <w:rsid w:val="00726A02"/>
    <w:pPr>
      <w:spacing w:after="0" w:line="240" w:lineRule="auto"/>
    </w:pPr>
    <w:rPr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CC"/>
    </w:tcPr>
    <w:tblStylePr w:type="firstRow">
      <w:pPr>
        <w:wordWrap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232176"/>
      </w:tcPr>
    </w:tblStylePr>
  </w:style>
  <w:style w:type="paragraph" w:customStyle="1" w:styleId="AF-naglowek-1">
    <w:name w:val="AF-naglowek-1"/>
    <w:basedOn w:val="Normalny"/>
    <w:qFormat/>
    <w:rsid w:val="007E7A92"/>
    <w:pPr>
      <w:spacing w:before="2700" w:after="360"/>
      <w:jc w:val="left"/>
    </w:pPr>
    <w:rPr>
      <w:rFonts w:ascii="Arial" w:eastAsia="Calibri" w:hAnsi="Arial" w:cs="Arial"/>
      <w:b/>
      <w:color w:val="00244D"/>
      <w:sz w:val="52"/>
      <w:szCs w:val="52"/>
    </w:rPr>
  </w:style>
  <w:style w:type="paragraph" w:customStyle="1" w:styleId="AF-naglowek-2">
    <w:name w:val="AF-naglowek-2"/>
    <w:basedOn w:val="Nagwek2"/>
    <w:qFormat/>
    <w:rsid w:val="007E7A92"/>
    <w:pPr>
      <w:numPr>
        <w:ilvl w:val="1"/>
        <w:numId w:val="8"/>
      </w:numPr>
      <w:spacing w:before="720"/>
      <w:jc w:val="left"/>
    </w:pPr>
    <w:rPr>
      <w:rFonts w:ascii="Arial" w:eastAsia="Times New Roman" w:hAnsi="Arial" w:cs="Arial"/>
      <w:b w:val="0"/>
      <w:color w:val="E46713"/>
      <w:sz w:val="32"/>
      <w:szCs w:val="32"/>
      <w:lang w:val="x-none" w:eastAsia="x-none"/>
    </w:rPr>
  </w:style>
  <w:style w:type="paragraph" w:customStyle="1" w:styleId="AF-naglowek-3">
    <w:name w:val="AF-naglowek-3"/>
    <w:basedOn w:val="Nagwek3"/>
    <w:qFormat/>
    <w:rsid w:val="007E7A92"/>
    <w:pPr>
      <w:numPr>
        <w:ilvl w:val="2"/>
        <w:numId w:val="8"/>
      </w:numPr>
      <w:spacing w:before="240" w:after="240"/>
      <w:jc w:val="left"/>
    </w:pPr>
    <w:rPr>
      <w:rFonts w:ascii="Arial" w:eastAsia="Times New Roman" w:hAnsi="Arial" w:cs="Arial"/>
      <w:b w:val="0"/>
      <w:i/>
      <w:color w:val="E46713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A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F-naglowek-4">
    <w:name w:val="AF-naglowek-4"/>
    <w:basedOn w:val="Nagwek3"/>
    <w:qFormat/>
    <w:rsid w:val="007E7A92"/>
    <w:pPr>
      <w:spacing w:before="360" w:after="200"/>
      <w:jc w:val="left"/>
    </w:pPr>
    <w:rPr>
      <w:rFonts w:ascii="Arial" w:eastAsia="Times New Roman" w:hAnsi="Arial" w:cs="Arial"/>
      <w:b w:val="0"/>
      <w:i/>
      <w:color w:val="E46713"/>
      <w:sz w:val="20"/>
      <w:szCs w:val="20"/>
      <w:lang w:val="x-none" w:eastAsia="x-none"/>
    </w:rPr>
  </w:style>
  <w:style w:type="paragraph" w:customStyle="1" w:styleId="AF-przypis">
    <w:name w:val="AF-przypis"/>
    <w:basedOn w:val="Tekstprzypisudolnego"/>
    <w:qFormat/>
    <w:rsid w:val="007E7A92"/>
    <w:pPr>
      <w:ind w:left="284" w:hanging="284"/>
    </w:pPr>
    <w:rPr>
      <w:rFonts w:ascii="Arial" w:eastAsia="Calibri" w:hAnsi="Arial" w:cs="Arial"/>
      <w:i/>
      <w:color w:val="808080" w:themeColor="background1" w:themeShade="80"/>
      <w:sz w:val="1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A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A92"/>
    <w:rPr>
      <w:sz w:val="20"/>
      <w:szCs w:val="20"/>
    </w:rPr>
  </w:style>
  <w:style w:type="paragraph" w:customStyle="1" w:styleId="AF-punktor-1">
    <w:name w:val="AF-punktor-1"/>
    <w:basedOn w:val="Akapitzlist"/>
    <w:qFormat/>
    <w:rsid w:val="007E7A92"/>
    <w:pPr>
      <w:numPr>
        <w:numId w:val="9"/>
      </w:numPr>
      <w:spacing w:after="200" w:line="300" w:lineRule="auto"/>
    </w:pPr>
    <w:rPr>
      <w:rFonts w:ascii="Arial" w:eastAsia="Calibri" w:hAnsi="Arial" w:cs="Arial"/>
      <w:bCs/>
      <w:sz w:val="22"/>
    </w:rPr>
  </w:style>
  <w:style w:type="paragraph" w:styleId="Akapitzlist">
    <w:name w:val="List Paragraph"/>
    <w:basedOn w:val="Normalny"/>
    <w:uiPriority w:val="34"/>
    <w:qFormat/>
    <w:rsid w:val="007E7A92"/>
    <w:pPr>
      <w:ind w:left="720"/>
      <w:contextualSpacing/>
    </w:pPr>
  </w:style>
  <w:style w:type="paragraph" w:customStyle="1" w:styleId="AF-punktor-2">
    <w:name w:val="AF-punktor-2"/>
    <w:basedOn w:val="AF-punktor-1"/>
    <w:qFormat/>
    <w:rsid w:val="007E7A92"/>
    <w:pPr>
      <w:numPr>
        <w:numId w:val="0"/>
      </w:numPr>
    </w:pPr>
  </w:style>
  <w:style w:type="paragraph" w:customStyle="1" w:styleId="AF-podpisy">
    <w:name w:val="AF-podpisy"/>
    <w:basedOn w:val="Normalny"/>
    <w:qFormat/>
    <w:rsid w:val="007E7A92"/>
    <w:pPr>
      <w:autoSpaceDE w:val="0"/>
      <w:autoSpaceDN w:val="0"/>
      <w:adjustRightInd w:val="0"/>
      <w:spacing w:before="60"/>
      <w:jc w:val="left"/>
    </w:pPr>
    <w:rPr>
      <w:rFonts w:ascii="Arial" w:eastAsia="Calibri" w:hAnsi="Arial" w:cs="Arial"/>
      <w:color w:val="E46713"/>
      <w:sz w:val="18"/>
    </w:rPr>
  </w:style>
  <w:style w:type="paragraph" w:customStyle="1" w:styleId="AF-tabela-tekst">
    <w:name w:val="AF-tabela-tekst"/>
    <w:basedOn w:val="Normalny"/>
    <w:qFormat/>
    <w:rsid w:val="007E7A92"/>
    <w:pPr>
      <w:autoSpaceDE w:val="0"/>
      <w:autoSpaceDN w:val="0"/>
      <w:adjustRightInd w:val="0"/>
      <w:spacing w:before="20" w:after="20"/>
      <w:jc w:val="left"/>
    </w:pPr>
    <w:rPr>
      <w:rFonts w:ascii="Arial" w:eastAsia="Calibri" w:hAnsi="Arial" w:cs="Arial"/>
      <w:sz w:val="18"/>
      <w:szCs w:val="18"/>
    </w:rPr>
  </w:style>
  <w:style w:type="paragraph" w:customStyle="1" w:styleId="AF-tekst">
    <w:name w:val="AF-tekst"/>
    <w:basedOn w:val="Normalny"/>
    <w:link w:val="AF-tekstZnak"/>
    <w:qFormat/>
    <w:rsid w:val="007E7A92"/>
    <w:pPr>
      <w:autoSpaceDE w:val="0"/>
      <w:autoSpaceDN w:val="0"/>
      <w:adjustRightInd w:val="0"/>
      <w:spacing w:line="300" w:lineRule="auto"/>
    </w:pPr>
    <w:rPr>
      <w:rFonts w:ascii="Arial" w:eastAsia="Calibri" w:hAnsi="Arial" w:cs="Arial"/>
      <w:color w:val="000000"/>
      <w:sz w:val="20"/>
      <w:szCs w:val="24"/>
    </w:rPr>
  </w:style>
  <w:style w:type="character" w:customStyle="1" w:styleId="AF-tekstZnak">
    <w:name w:val="AF-tekst Znak"/>
    <w:basedOn w:val="Domylnaczcionkaakapitu"/>
    <w:link w:val="AF-tekst"/>
    <w:rsid w:val="007E7A92"/>
    <w:rPr>
      <w:rFonts w:ascii="Arial" w:eastAsia="Calibri" w:hAnsi="Arial" w:cs="Arial"/>
      <w:color w:val="000000"/>
      <w:sz w:val="20"/>
      <w:szCs w:val="24"/>
    </w:rPr>
  </w:style>
  <w:style w:type="paragraph" w:customStyle="1" w:styleId="AF-zrodlo">
    <w:name w:val="AF-zrodlo"/>
    <w:basedOn w:val="AF-przypis"/>
    <w:qFormat/>
    <w:rsid w:val="007E7A92"/>
    <w:pPr>
      <w:spacing w:before="60" w:after="360" w:line="264" w:lineRule="auto"/>
      <w:ind w:left="0" w:firstLine="0"/>
      <w:contextualSpacing/>
    </w:pPr>
  </w:style>
  <w:style w:type="paragraph" w:customStyle="1" w:styleId="AF-zrodlo-z">
    <w:name w:val="AF-zrodlo-z"/>
    <w:basedOn w:val="Normalny"/>
    <w:qFormat/>
    <w:rsid w:val="007E7A92"/>
    <w:pPr>
      <w:spacing w:before="60" w:after="360" w:line="264" w:lineRule="auto"/>
      <w:contextualSpacing/>
    </w:pPr>
    <w:rPr>
      <w:rFonts w:ascii="Arial" w:eastAsia="Calibri" w:hAnsi="Arial" w:cs="Arial"/>
      <w:bCs/>
      <w:i/>
      <w:color w:val="808080" w:themeColor="background1" w:themeShade="80"/>
      <w:sz w:val="18"/>
      <w:szCs w:val="20"/>
      <w:lang w:val="en-US" w:eastAsia="x-none"/>
    </w:rPr>
  </w:style>
  <w:style w:type="paragraph" w:customStyle="1" w:styleId="AF-naglowek-1-pkt">
    <w:name w:val="AF-naglowek-1-pkt"/>
    <w:basedOn w:val="Nagwek1"/>
    <w:link w:val="AF-naglowek-1-pktZnak"/>
    <w:qFormat/>
    <w:rsid w:val="007E7A92"/>
    <w:pPr>
      <w:numPr>
        <w:numId w:val="4"/>
      </w:numPr>
      <w:spacing w:before="2700" w:after="360"/>
      <w:ind w:left="0" w:hanging="851"/>
      <w:jc w:val="left"/>
    </w:pPr>
    <w:rPr>
      <w:rFonts w:ascii="Arial" w:eastAsia="Times New Roman" w:hAnsi="Arial" w:cs="Arial"/>
      <w:color w:val="00244D"/>
      <w:sz w:val="48"/>
      <w:szCs w:val="52"/>
      <w:lang w:val="x-none" w:eastAsia="x-none"/>
    </w:rPr>
  </w:style>
  <w:style w:type="character" w:customStyle="1" w:styleId="AF-naglowek-1-pktZnak">
    <w:name w:val="AF-naglowek-1-pkt Znak"/>
    <w:basedOn w:val="Domylnaczcionkaakapitu"/>
    <w:link w:val="AF-naglowek-1-pkt"/>
    <w:rsid w:val="007E7A92"/>
    <w:rPr>
      <w:rFonts w:ascii="Arial" w:eastAsia="Times New Roman" w:hAnsi="Arial" w:cs="Arial"/>
      <w:b/>
      <w:bCs/>
      <w:color w:val="00244D"/>
      <w:sz w:val="48"/>
      <w:szCs w:val="52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E7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-punktor-3">
    <w:name w:val="AF-punktor-3"/>
    <w:basedOn w:val="AF-punktor-2"/>
    <w:qFormat/>
    <w:rsid w:val="007E7A92"/>
    <w:pPr>
      <w:numPr>
        <w:numId w:val="11"/>
      </w:numPr>
    </w:pPr>
  </w:style>
  <w:style w:type="paragraph" w:customStyle="1" w:styleId="AF-punktor-4">
    <w:name w:val="AF-punktor-4"/>
    <w:basedOn w:val="AF-punktor-3"/>
    <w:qFormat/>
    <w:rsid w:val="007E7A92"/>
    <w:pPr>
      <w:numPr>
        <w:numId w:val="12"/>
      </w:numPr>
    </w:pPr>
  </w:style>
  <w:style w:type="paragraph" w:customStyle="1" w:styleId="AF-wyroznienie">
    <w:name w:val="AF-wyroznienie"/>
    <w:basedOn w:val="AF-tekst"/>
    <w:link w:val="AF-wyroznienieZnak"/>
    <w:qFormat/>
    <w:rsid w:val="007E7A92"/>
    <w:rPr>
      <w:i/>
      <w:color w:val="E46713"/>
    </w:rPr>
  </w:style>
  <w:style w:type="character" w:customStyle="1" w:styleId="AF-wyroznienieZnak">
    <w:name w:val="AF-wyroznienie Znak"/>
    <w:basedOn w:val="AF-tekstZnak"/>
    <w:link w:val="AF-wyroznienie"/>
    <w:rsid w:val="007E7A92"/>
    <w:rPr>
      <w:rFonts w:ascii="Arial" w:eastAsia="Calibri" w:hAnsi="Arial" w:cs="Arial"/>
      <w:i/>
      <w:color w:val="E46713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A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egenda">
    <w:name w:val="caption"/>
    <w:aliases w:val="Podpis nad obiektem"/>
    <w:basedOn w:val="Normalny"/>
    <w:next w:val="Normalny"/>
    <w:link w:val="LegendaZnak"/>
    <w:uiPriority w:val="99"/>
    <w:unhideWhenUsed/>
    <w:qFormat/>
    <w:rsid w:val="007E7A92"/>
    <w:pPr>
      <w:spacing w:after="200" w:line="240" w:lineRule="auto"/>
      <w:jc w:val="left"/>
    </w:pPr>
    <w:rPr>
      <w:rFonts w:ascii="Arial" w:hAnsi="Arial"/>
      <w:bCs/>
      <w:color w:val="E36C0A" w:themeColor="accent6" w:themeShade="BF"/>
      <w:sz w:val="18"/>
      <w:szCs w:val="18"/>
    </w:rPr>
  </w:style>
  <w:style w:type="character" w:customStyle="1" w:styleId="LegendaZnak">
    <w:name w:val="Legenda Znak"/>
    <w:aliases w:val="Podpis nad obiektem Znak"/>
    <w:basedOn w:val="Domylnaczcionkaakapitu"/>
    <w:link w:val="Legenda"/>
    <w:uiPriority w:val="99"/>
    <w:locked/>
    <w:rsid w:val="007E7A92"/>
    <w:rPr>
      <w:rFonts w:ascii="Arial" w:hAnsi="Arial"/>
      <w:bCs/>
      <w:color w:val="E36C0A" w:themeColor="accent6" w:themeShade="BF"/>
      <w:sz w:val="18"/>
      <w:szCs w:val="18"/>
    </w:rPr>
  </w:style>
  <w:style w:type="paragraph" w:styleId="Bezodstpw">
    <w:name w:val="No Spacing"/>
    <w:uiPriority w:val="1"/>
    <w:qFormat/>
    <w:rsid w:val="007E7A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E0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E0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H_Pela</cp:lastModifiedBy>
  <cp:revision>2</cp:revision>
  <dcterms:created xsi:type="dcterms:W3CDTF">2019-06-27T09:38:00Z</dcterms:created>
  <dcterms:modified xsi:type="dcterms:W3CDTF">2019-06-27T09:38:00Z</dcterms:modified>
</cp:coreProperties>
</file>