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F9" w:rsidRDefault="00A94FF9" w:rsidP="00595EB1">
      <w:pPr>
        <w:spacing w:after="0" w:line="240" w:lineRule="auto"/>
        <w:jc w:val="both"/>
        <w:rPr>
          <w:b/>
          <w:bCs/>
          <w:szCs w:val="18"/>
        </w:rPr>
      </w:pPr>
      <w:bookmarkStart w:id="0" w:name="_Toc438654647"/>
      <w:bookmarkStart w:id="1" w:name="_Toc438992427"/>
    </w:p>
    <w:p w:rsidR="00A94FF9" w:rsidRDefault="00A94FF9" w:rsidP="00A94FF9">
      <w:pPr>
        <w:spacing w:after="0" w:line="240" w:lineRule="auto"/>
        <w:jc w:val="center"/>
        <w:rPr>
          <w:b/>
          <w:bCs/>
          <w:szCs w:val="18"/>
        </w:rPr>
      </w:pPr>
      <w:r>
        <w:rPr>
          <w:b/>
          <w:bCs/>
          <w:szCs w:val="18"/>
        </w:rPr>
        <w:t>Wyciąg z Lokalnej Strategii Rozwoju SGR z naniesionymi zmianami</w:t>
      </w:r>
    </w:p>
    <w:p w:rsidR="00A94FF9" w:rsidRDefault="00A94FF9" w:rsidP="00595EB1">
      <w:pPr>
        <w:spacing w:after="0" w:line="240" w:lineRule="auto"/>
        <w:jc w:val="both"/>
        <w:rPr>
          <w:b/>
          <w:bCs/>
          <w:szCs w:val="18"/>
        </w:rPr>
      </w:pPr>
    </w:p>
    <w:p w:rsidR="00595EB1" w:rsidRPr="00595EB1" w:rsidRDefault="00595EB1" w:rsidP="00595EB1">
      <w:pPr>
        <w:spacing w:after="0" w:line="240" w:lineRule="auto"/>
        <w:jc w:val="both"/>
        <w:rPr>
          <w:bCs/>
          <w:szCs w:val="18"/>
        </w:rPr>
      </w:pPr>
      <w:r w:rsidRPr="00595EB1">
        <w:rPr>
          <w:b/>
          <w:bCs/>
          <w:szCs w:val="18"/>
        </w:rPr>
        <w:t xml:space="preserve">Tabela </w:t>
      </w:r>
      <w:r w:rsidRPr="00595EB1">
        <w:rPr>
          <w:b/>
          <w:bCs/>
          <w:szCs w:val="18"/>
        </w:rPr>
        <w:fldChar w:fldCharType="begin"/>
      </w:r>
      <w:r w:rsidRPr="00595EB1">
        <w:rPr>
          <w:b/>
          <w:bCs/>
          <w:szCs w:val="18"/>
        </w:rPr>
        <w:instrText xml:space="preserve"> SEQ Tabela \* ARABIC </w:instrText>
      </w:r>
      <w:r w:rsidRPr="00595EB1">
        <w:rPr>
          <w:b/>
          <w:bCs/>
          <w:szCs w:val="18"/>
        </w:rPr>
        <w:fldChar w:fldCharType="separate"/>
      </w:r>
      <w:r w:rsidRPr="00595EB1">
        <w:rPr>
          <w:b/>
          <w:bCs/>
          <w:noProof/>
          <w:szCs w:val="18"/>
        </w:rPr>
        <w:t>23</w:t>
      </w:r>
      <w:r w:rsidRPr="00595EB1">
        <w:rPr>
          <w:b/>
          <w:bCs/>
          <w:szCs w:val="18"/>
        </w:rPr>
        <w:fldChar w:fldCharType="end"/>
      </w:r>
      <w:r w:rsidRPr="00595EB1">
        <w:rPr>
          <w:b/>
          <w:bCs/>
          <w:szCs w:val="18"/>
        </w:rPr>
        <w:t>.</w:t>
      </w:r>
      <w:r w:rsidRPr="00595EB1">
        <w:rPr>
          <w:bCs/>
          <w:szCs w:val="18"/>
        </w:rPr>
        <w:t xml:space="preserve"> Cele i wskaźniki</w:t>
      </w:r>
      <w:bookmarkEnd w:id="0"/>
      <w:bookmarkEnd w:id="1"/>
    </w:p>
    <w:tbl>
      <w:tblPr>
        <w:tblStyle w:val="RozdziaV"/>
        <w:tblW w:w="5000" w:type="pct"/>
        <w:tblLook w:val="04A0" w:firstRow="1" w:lastRow="0" w:firstColumn="1" w:lastColumn="0" w:noHBand="0" w:noVBand="1"/>
      </w:tblPr>
      <w:tblGrid>
        <w:gridCol w:w="746"/>
        <w:gridCol w:w="2055"/>
        <w:gridCol w:w="4778"/>
        <w:gridCol w:w="919"/>
        <w:gridCol w:w="1536"/>
        <w:gridCol w:w="995"/>
        <w:gridCol w:w="3191"/>
      </w:tblGrid>
      <w:tr w:rsidR="00595EB1" w:rsidRPr="00595EB1" w:rsidTr="00595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tcW w:w="262" w:type="pct"/>
          </w:tcPr>
          <w:p w:rsidR="00595EB1" w:rsidRPr="00595EB1" w:rsidRDefault="00595EB1" w:rsidP="00595EB1">
            <w:pPr>
              <w:rPr>
                <w:bCs/>
              </w:rPr>
            </w:pPr>
            <w:r w:rsidRPr="00595EB1">
              <w:t>2.0</w:t>
            </w:r>
          </w:p>
        </w:tc>
        <w:tc>
          <w:tcPr>
            <w:tcW w:w="723" w:type="pct"/>
          </w:tcPr>
          <w:p w:rsidR="00595EB1" w:rsidRPr="00595EB1" w:rsidRDefault="00595EB1" w:rsidP="00595EB1">
            <w:r w:rsidRPr="00595EB1">
              <w:t>Cel ogólny 2</w:t>
            </w:r>
          </w:p>
        </w:tc>
        <w:tc>
          <w:tcPr>
            <w:tcW w:w="4015" w:type="pct"/>
            <w:gridSpan w:val="5"/>
          </w:tcPr>
          <w:p w:rsidR="00595EB1" w:rsidRPr="00595EB1" w:rsidRDefault="00595EB1" w:rsidP="00595EB1">
            <w:pPr>
              <w:ind w:left="70"/>
              <w:contextualSpacing/>
              <w:rPr>
                <w:rFonts w:eastAsia="Times New Roman" w:cs="Times New Roman"/>
                <w:lang w:eastAsia="pl-PL"/>
              </w:rPr>
            </w:pPr>
            <w:r w:rsidRPr="00595EB1">
              <w:t>Efektywne zarządzanie zasobami i rozwój gospodarczy</w:t>
            </w:r>
          </w:p>
        </w:tc>
      </w:tr>
      <w:tr w:rsidR="00595EB1" w:rsidRPr="00595EB1" w:rsidTr="00595EB1">
        <w:trPr>
          <w:trHeight w:val="270"/>
        </w:trPr>
        <w:tc>
          <w:tcPr>
            <w:tcW w:w="262" w:type="pct"/>
            <w:shd w:val="clear" w:color="auto" w:fill="D9D9D9" w:themeFill="background1" w:themeFillShade="D9"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  <w:r w:rsidRPr="00595EB1">
              <w:t>2.1</w:t>
            </w:r>
          </w:p>
        </w:tc>
        <w:tc>
          <w:tcPr>
            <w:tcW w:w="723" w:type="pct"/>
            <w:vMerge w:val="restart"/>
            <w:shd w:val="clear" w:color="auto" w:fill="D9D9D9" w:themeFill="background1" w:themeFillShade="D9"/>
          </w:tcPr>
          <w:p w:rsidR="00595EB1" w:rsidRPr="00595EB1" w:rsidRDefault="00595EB1" w:rsidP="00595EB1">
            <w:pPr>
              <w:spacing w:after="60"/>
            </w:pPr>
            <w:r w:rsidRPr="00595EB1">
              <w:t>Cele szczegółowe</w:t>
            </w:r>
          </w:p>
        </w:tc>
        <w:tc>
          <w:tcPr>
            <w:tcW w:w="4015" w:type="pct"/>
            <w:gridSpan w:val="5"/>
            <w:shd w:val="clear" w:color="auto" w:fill="D9D9D9" w:themeFill="background1" w:themeFillShade="D9"/>
          </w:tcPr>
          <w:p w:rsidR="00595EB1" w:rsidRPr="00595EB1" w:rsidRDefault="00595EB1" w:rsidP="00595EB1">
            <w:pPr>
              <w:spacing w:after="60"/>
              <w:jc w:val="both"/>
              <w:rPr>
                <w:rFonts w:eastAsia="Times New Roman" w:cs="Times New Roman"/>
                <w:lang w:eastAsia="pl-PL"/>
              </w:rPr>
            </w:pPr>
            <w:r w:rsidRPr="00595EB1">
              <w:t>2.1. Tworzenie i rozwój działalności, w szczególności opartych o zasoby, kulturę i specyfikę obszaru</w:t>
            </w:r>
          </w:p>
        </w:tc>
      </w:tr>
      <w:tr w:rsidR="00595EB1" w:rsidRPr="00595EB1" w:rsidTr="00595EB1">
        <w:trPr>
          <w:trHeight w:val="260"/>
        </w:trPr>
        <w:tc>
          <w:tcPr>
            <w:tcW w:w="262" w:type="pct"/>
            <w:shd w:val="clear" w:color="auto" w:fill="D9D9D9" w:themeFill="background1" w:themeFillShade="D9"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  <w:r w:rsidRPr="00595EB1">
              <w:t>2.2</w:t>
            </w:r>
          </w:p>
        </w:tc>
        <w:tc>
          <w:tcPr>
            <w:tcW w:w="723" w:type="pct"/>
            <w:vMerge/>
            <w:shd w:val="clear" w:color="auto" w:fill="D9D9D9" w:themeFill="background1" w:themeFillShade="D9"/>
          </w:tcPr>
          <w:p w:rsidR="00595EB1" w:rsidRPr="00595EB1" w:rsidRDefault="00595EB1" w:rsidP="00595EB1">
            <w:pPr>
              <w:spacing w:after="60"/>
              <w:rPr>
                <w:color w:val="FF0000"/>
              </w:rPr>
            </w:pPr>
          </w:p>
        </w:tc>
        <w:tc>
          <w:tcPr>
            <w:tcW w:w="4015" w:type="pct"/>
            <w:gridSpan w:val="5"/>
            <w:shd w:val="clear" w:color="auto" w:fill="D9D9D9" w:themeFill="background1" w:themeFillShade="D9"/>
          </w:tcPr>
          <w:p w:rsidR="00595EB1" w:rsidRPr="00595EB1" w:rsidRDefault="00595EB1" w:rsidP="00595EB1">
            <w:pPr>
              <w:spacing w:after="60"/>
              <w:jc w:val="both"/>
            </w:pPr>
            <w:r w:rsidRPr="00595EB1">
              <w:t>2.2. Zachowanie stanu środowiska naturalnego</w:t>
            </w:r>
          </w:p>
        </w:tc>
      </w:tr>
      <w:tr w:rsidR="00595EB1" w:rsidRPr="00595EB1" w:rsidTr="00595EB1">
        <w:trPr>
          <w:trHeight w:val="264"/>
        </w:trPr>
        <w:tc>
          <w:tcPr>
            <w:tcW w:w="262" w:type="pct"/>
            <w:shd w:val="clear" w:color="auto" w:fill="D9D9D9" w:themeFill="background1" w:themeFillShade="D9"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  <w:r w:rsidRPr="00595EB1">
              <w:t>2.3</w:t>
            </w:r>
          </w:p>
        </w:tc>
        <w:tc>
          <w:tcPr>
            <w:tcW w:w="723" w:type="pct"/>
            <w:vMerge/>
            <w:shd w:val="clear" w:color="auto" w:fill="D9D9D9" w:themeFill="background1" w:themeFillShade="D9"/>
          </w:tcPr>
          <w:p w:rsidR="00595EB1" w:rsidRPr="00595EB1" w:rsidRDefault="00595EB1" w:rsidP="00595EB1">
            <w:pPr>
              <w:spacing w:after="60"/>
              <w:rPr>
                <w:color w:val="FF0000"/>
              </w:rPr>
            </w:pPr>
          </w:p>
        </w:tc>
        <w:tc>
          <w:tcPr>
            <w:tcW w:w="4015" w:type="pct"/>
            <w:gridSpan w:val="5"/>
            <w:shd w:val="clear" w:color="auto" w:fill="D9D9D9" w:themeFill="background1" w:themeFillShade="D9"/>
          </w:tcPr>
          <w:p w:rsidR="00595EB1" w:rsidRPr="00595EB1" w:rsidRDefault="00595EB1" w:rsidP="00595EB1">
            <w:pPr>
              <w:spacing w:after="60"/>
              <w:jc w:val="both"/>
            </w:pPr>
            <w:r w:rsidRPr="00595EB1">
              <w:t>2.3. Zwiększenie atrakcyjności i różnorodności turystycznej obszaru</w:t>
            </w:r>
          </w:p>
        </w:tc>
      </w:tr>
      <w:tr w:rsidR="00595EB1" w:rsidRPr="00595EB1" w:rsidTr="00595EB1">
        <w:trPr>
          <w:trHeight w:val="1134"/>
        </w:trPr>
        <w:tc>
          <w:tcPr>
            <w:tcW w:w="262" w:type="pct"/>
            <w:textDirection w:val="btLr"/>
          </w:tcPr>
          <w:p w:rsidR="00595EB1" w:rsidRPr="00595EB1" w:rsidRDefault="00595EB1" w:rsidP="00595EB1">
            <w:pPr>
              <w:spacing w:after="60"/>
              <w:ind w:left="113" w:right="113"/>
              <w:rPr>
                <w:b/>
                <w:bCs/>
              </w:rPr>
            </w:pP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  <w:rPr>
                <w:color w:val="FF0000"/>
              </w:rPr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t xml:space="preserve">Wskaźniki oddziaływania </w:t>
            </w:r>
            <w:r w:rsidRPr="00595EB1">
              <w:rPr>
                <w:shd w:val="clear" w:color="auto" w:fill="F2F2F2" w:themeFill="background1" w:themeFillShade="F2"/>
              </w:rPr>
              <w:t>dla celu ogólnego</w:t>
            </w:r>
          </w:p>
        </w:tc>
        <w:tc>
          <w:tcPr>
            <w:tcW w:w="323" w:type="pct"/>
            <w:textDirection w:val="btLr"/>
          </w:tcPr>
          <w:p w:rsidR="00595EB1" w:rsidRPr="00595EB1" w:rsidRDefault="00595EB1" w:rsidP="00595EB1">
            <w:pPr>
              <w:spacing w:after="60"/>
              <w:ind w:left="113" w:right="113"/>
            </w:pPr>
            <w:r w:rsidRPr="00595EB1">
              <w:t>Jednostka miary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Stan początkowy 2014r.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</w:pPr>
            <w:r w:rsidRPr="00595EB1">
              <w:t>Plan 2023r.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</w:pPr>
            <w:r w:rsidRPr="00595EB1">
              <w:t>Źródło danych/sposób pomiaru</w:t>
            </w:r>
          </w:p>
        </w:tc>
      </w:tr>
      <w:tr w:rsidR="00595EB1" w:rsidRPr="00595EB1" w:rsidTr="00595EB1">
        <w:trPr>
          <w:trHeight w:val="1134"/>
        </w:trPr>
        <w:tc>
          <w:tcPr>
            <w:tcW w:w="262" w:type="pct"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  <w:r w:rsidRPr="00595EB1">
              <w:t>W.2.0</w:t>
            </w:r>
          </w:p>
        </w:tc>
        <w:tc>
          <w:tcPr>
            <w:tcW w:w="2403" w:type="pct"/>
            <w:gridSpan w:val="2"/>
          </w:tcPr>
          <w:p w:rsidR="00595EB1" w:rsidRPr="00595EB1" w:rsidRDefault="00595EB1" w:rsidP="00595EB1">
            <w:pPr>
              <w:spacing w:after="60"/>
            </w:pPr>
            <w:r w:rsidRPr="00595EB1">
              <w:t>Wzrost liczby podmiotów gospodarczych na obszarze SGR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</w:pPr>
            <w:r w:rsidRPr="00595EB1">
              <w:t>sztuka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6965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</w:pPr>
            <w:r w:rsidRPr="00595EB1">
              <w:t xml:space="preserve">wzrost </w:t>
            </w:r>
            <w:r w:rsidRPr="00595EB1">
              <w:br/>
              <w:t>o 5%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  <w:ind w:left="70"/>
              <w:contextualSpacing/>
              <w:rPr>
                <w:rFonts w:eastAsia="Times New Roman" w:cs="Times New Roman"/>
                <w:lang w:eastAsia="pl-PL"/>
              </w:rPr>
            </w:pPr>
            <w:r w:rsidRPr="00595EB1">
              <w:rPr>
                <w:rFonts w:eastAsia="Times New Roman" w:cs="Times New Roman"/>
                <w:lang w:eastAsia="pl-PL"/>
              </w:rPr>
              <w:t xml:space="preserve">Główny Urząd Statystyczny. </w:t>
            </w:r>
            <w:r w:rsidRPr="00595EB1">
              <w:rPr>
                <w:rFonts w:eastAsia="Times New Roman" w:cs="Times New Roman"/>
                <w:lang w:eastAsia="pl-PL"/>
              </w:rPr>
              <w:br/>
              <w:t>Bank Danych Lokalnych</w:t>
            </w:r>
          </w:p>
        </w:tc>
      </w:tr>
      <w:tr w:rsidR="00595EB1" w:rsidRPr="00595EB1" w:rsidTr="00595EB1">
        <w:trPr>
          <w:trHeight w:val="1134"/>
        </w:trPr>
        <w:tc>
          <w:tcPr>
            <w:tcW w:w="262" w:type="pct"/>
            <w:textDirection w:val="btLr"/>
          </w:tcPr>
          <w:p w:rsidR="00595EB1" w:rsidRPr="00595EB1" w:rsidRDefault="00595EB1" w:rsidP="00595EB1">
            <w:pPr>
              <w:spacing w:after="60"/>
              <w:ind w:left="113" w:right="113"/>
              <w:rPr>
                <w:b/>
                <w:bCs/>
              </w:rPr>
            </w:pP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  <w:rPr>
                <w:color w:val="FF0000"/>
              </w:rPr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t>Wskaźniki rezultatu dla celów szczegółowych</w:t>
            </w:r>
          </w:p>
        </w:tc>
        <w:tc>
          <w:tcPr>
            <w:tcW w:w="323" w:type="pct"/>
            <w:textDirection w:val="btLr"/>
          </w:tcPr>
          <w:p w:rsidR="00595EB1" w:rsidRPr="00595EB1" w:rsidRDefault="00595EB1" w:rsidP="00595EB1">
            <w:pPr>
              <w:spacing w:after="60"/>
              <w:ind w:left="113" w:right="113"/>
            </w:pPr>
            <w:r w:rsidRPr="00595EB1">
              <w:t>Jednostka miary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Stan początkowy 2014r.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</w:pPr>
            <w:r w:rsidRPr="00595EB1">
              <w:t>Plan 2023r.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</w:pPr>
            <w:r w:rsidRPr="00595EB1">
              <w:t>Źródło danych/sposób pomiaru</w:t>
            </w:r>
          </w:p>
        </w:tc>
      </w:tr>
      <w:tr w:rsidR="00595EB1" w:rsidRPr="00595EB1" w:rsidTr="00595EB1">
        <w:trPr>
          <w:trHeight w:val="814"/>
        </w:trPr>
        <w:tc>
          <w:tcPr>
            <w:tcW w:w="262" w:type="pct"/>
            <w:vMerge w:val="restart"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  <w:r w:rsidRPr="00595EB1">
              <w:t>W.2.1</w:t>
            </w: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t>liczba utworzonych miejsc pracy (ogółem)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</w:pPr>
            <w:r w:rsidRPr="00595EB1">
              <w:t>sztuka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0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</w:pPr>
            <w:r w:rsidRPr="00595EB1">
              <w:t>38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  <w:ind w:left="70"/>
              <w:contextualSpacing/>
            </w:pPr>
            <w:r w:rsidRPr="00595EB1">
              <w:t xml:space="preserve">sprawozdanie beneficjenta </w:t>
            </w:r>
            <w:r w:rsidRPr="00595EB1">
              <w:br/>
              <w:t>z realizacji operacji</w:t>
            </w:r>
          </w:p>
          <w:p w:rsidR="00595EB1" w:rsidRPr="00595EB1" w:rsidRDefault="00595EB1" w:rsidP="00595EB1">
            <w:pPr>
              <w:spacing w:after="60"/>
              <w:ind w:left="70"/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595EB1" w:rsidRPr="00595EB1" w:rsidTr="00595EB1">
        <w:trPr>
          <w:trHeight w:val="840"/>
        </w:trPr>
        <w:tc>
          <w:tcPr>
            <w:tcW w:w="262" w:type="pct"/>
            <w:vMerge/>
            <w:textDirection w:val="btLr"/>
          </w:tcPr>
          <w:p w:rsidR="00595EB1" w:rsidRPr="00595EB1" w:rsidRDefault="00595EB1" w:rsidP="00595EB1">
            <w:pPr>
              <w:spacing w:after="60"/>
              <w:ind w:left="113" w:right="113"/>
              <w:rPr>
                <w:b/>
                <w:bCs/>
              </w:rPr>
            </w:pP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t>liczba zatrudnionych osób należących do grup defaworyzowanych  (wraz z samozatrudnieniem)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</w:pPr>
            <w:r w:rsidRPr="00595EB1">
              <w:t>sztuka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0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</w:pPr>
            <w:r w:rsidRPr="00595EB1">
              <w:t>13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  <w:ind w:left="70"/>
              <w:contextualSpacing/>
            </w:pPr>
            <w:r w:rsidRPr="00595EB1">
              <w:t xml:space="preserve">sprawozdanie beneficjenta </w:t>
            </w:r>
            <w:r w:rsidRPr="00595EB1">
              <w:br/>
              <w:t>z realizacji operacji</w:t>
            </w:r>
          </w:p>
          <w:p w:rsidR="00595EB1" w:rsidRPr="00595EB1" w:rsidRDefault="00595EB1" w:rsidP="00595EB1">
            <w:pPr>
              <w:spacing w:after="60"/>
              <w:ind w:left="70"/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595EB1" w:rsidRPr="00595EB1" w:rsidTr="00595EB1">
        <w:trPr>
          <w:trHeight w:val="557"/>
        </w:trPr>
        <w:tc>
          <w:tcPr>
            <w:tcW w:w="262" w:type="pct"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  <w:r w:rsidRPr="00595EB1">
              <w:t>W.2.2</w:t>
            </w: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t>liczba obszarów chronionych objętych realizowanymi operacjami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</w:pPr>
            <w:r w:rsidRPr="00595EB1">
              <w:t>sztuka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0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  <w:rPr>
                <w:strike/>
              </w:rPr>
            </w:pPr>
            <w:r w:rsidRPr="00595EB1">
              <w:t>1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  <w:ind w:left="70"/>
              <w:contextualSpacing/>
            </w:pPr>
            <w:r w:rsidRPr="00595EB1">
              <w:t xml:space="preserve">sprawozdanie beneficjenta </w:t>
            </w:r>
            <w:r w:rsidRPr="00595EB1">
              <w:br/>
              <w:t>z realizacji operacji</w:t>
            </w:r>
          </w:p>
          <w:p w:rsidR="00595EB1" w:rsidRPr="00595EB1" w:rsidRDefault="00595EB1" w:rsidP="00595EB1">
            <w:pPr>
              <w:spacing w:after="60"/>
              <w:ind w:left="70"/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595EB1" w:rsidRPr="00595EB1" w:rsidTr="00595EB1">
        <w:trPr>
          <w:trHeight w:val="821"/>
        </w:trPr>
        <w:tc>
          <w:tcPr>
            <w:tcW w:w="262" w:type="pct"/>
            <w:vMerge w:val="restart"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  <w:r w:rsidRPr="00595EB1">
              <w:lastRenderedPageBreak/>
              <w:t>W2.3</w:t>
            </w: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rPr>
                <w:rFonts w:eastAsia="Calibri" w:cs="Times New Roman"/>
              </w:rPr>
              <w:t>liczba miejscowości objętych operacją, w których dotychczas nie istniała infrastruktura turystyczna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</w:pPr>
            <w:r w:rsidRPr="00595EB1">
              <w:t>sztuka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0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  <w:rPr>
                <w:strike/>
              </w:rPr>
            </w:pPr>
            <w:r w:rsidRPr="00595EB1">
              <w:t>1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  <w:ind w:left="70"/>
              <w:contextualSpacing/>
            </w:pPr>
            <w:r w:rsidRPr="00595EB1">
              <w:t xml:space="preserve">sprawozdanie beneficjenta </w:t>
            </w:r>
            <w:r w:rsidRPr="00595EB1">
              <w:br/>
              <w:t>z realizacji operacji</w:t>
            </w:r>
          </w:p>
          <w:p w:rsidR="00595EB1" w:rsidRPr="00595EB1" w:rsidRDefault="00595EB1" w:rsidP="00595EB1">
            <w:pPr>
              <w:spacing w:after="60"/>
              <w:ind w:left="70"/>
              <w:contextualSpacing/>
            </w:pPr>
          </w:p>
        </w:tc>
      </w:tr>
      <w:tr w:rsidR="00595EB1" w:rsidRPr="00595EB1" w:rsidTr="00595EB1">
        <w:trPr>
          <w:trHeight w:val="821"/>
        </w:trPr>
        <w:tc>
          <w:tcPr>
            <w:tcW w:w="262" w:type="pct"/>
            <w:vMerge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1680" w:type="pct"/>
          </w:tcPr>
          <w:p w:rsidR="00595EB1" w:rsidRPr="005209C5" w:rsidRDefault="005209C5" w:rsidP="00595EB1">
            <w:pPr>
              <w:spacing w:after="60"/>
              <w:rPr>
                <w:rFonts w:eastAsia="Calibri" w:cs="Times New Roman"/>
                <w:highlight w:val="yellow"/>
              </w:rPr>
            </w:pPr>
            <w:r w:rsidRPr="005209C5">
              <w:rPr>
                <w:rFonts w:eastAsia="Calibri" w:cs="Times New Roman"/>
                <w:highlight w:val="yellow"/>
              </w:rPr>
              <w:t>Wzrost liczby osób korzystających ze stworzonej, rozwiniętej lub wyposażonej infrastruktury turystycznej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  <w:rPr>
                <w:highlight w:val="yellow"/>
              </w:rPr>
            </w:pPr>
            <w:r w:rsidRPr="00595EB1">
              <w:rPr>
                <w:highlight w:val="yellow"/>
              </w:rPr>
              <w:t>procent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  <w:rPr>
                <w:highlight w:val="yellow"/>
              </w:rPr>
            </w:pPr>
            <w:r w:rsidRPr="00595EB1">
              <w:rPr>
                <w:highlight w:val="yellow"/>
              </w:rPr>
              <w:t>0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  <w:rPr>
                <w:highlight w:val="yellow"/>
              </w:rPr>
            </w:pPr>
            <w:r w:rsidRPr="00595EB1">
              <w:rPr>
                <w:highlight w:val="yellow"/>
              </w:rPr>
              <w:t>o 30%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  <w:ind w:left="70"/>
              <w:contextualSpacing/>
              <w:rPr>
                <w:highlight w:val="yellow"/>
              </w:rPr>
            </w:pPr>
            <w:r w:rsidRPr="00595EB1">
              <w:rPr>
                <w:highlight w:val="yellow"/>
              </w:rPr>
              <w:t xml:space="preserve">sprawozdanie beneficjenta </w:t>
            </w:r>
            <w:r w:rsidRPr="00595EB1">
              <w:rPr>
                <w:highlight w:val="yellow"/>
              </w:rPr>
              <w:br/>
              <w:t>z realizacji operacji</w:t>
            </w:r>
          </w:p>
          <w:p w:rsidR="00595EB1" w:rsidRPr="00595EB1" w:rsidRDefault="00595EB1" w:rsidP="00595EB1">
            <w:pPr>
              <w:spacing w:after="60"/>
              <w:ind w:left="70"/>
              <w:contextualSpacing/>
              <w:rPr>
                <w:highlight w:val="yellow"/>
              </w:rPr>
            </w:pPr>
          </w:p>
        </w:tc>
      </w:tr>
      <w:tr w:rsidR="00595EB1" w:rsidRPr="00595EB1" w:rsidTr="00595EB1">
        <w:trPr>
          <w:trHeight w:val="691"/>
        </w:trPr>
        <w:tc>
          <w:tcPr>
            <w:tcW w:w="262" w:type="pct"/>
            <w:vMerge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rPr>
                <w:rFonts w:eastAsia="Calibri" w:cs="Times New Roman"/>
              </w:rPr>
              <w:t>liczba osób, które skorzystały z więcej niż jednej usługi turystycznej objętej siecią, która otrzymała wsparcie w ramach LSR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</w:pPr>
            <w:r w:rsidRPr="00595EB1">
              <w:t>sztuka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0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</w:pPr>
            <w:r w:rsidRPr="00595EB1">
              <w:t>20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  <w:ind w:left="70"/>
              <w:contextualSpacing/>
            </w:pPr>
            <w:r w:rsidRPr="00595EB1">
              <w:t xml:space="preserve">sprawozdanie beneficjenta </w:t>
            </w:r>
            <w:r w:rsidRPr="00595EB1">
              <w:br/>
              <w:t>z realizacji operacji</w:t>
            </w:r>
          </w:p>
          <w:p w:rsidR="00595EB1" w:rsidRPr="00595EB1" w:rsidRDefault="00595EB1" w:rsidP="00595EB1">
            <w:pPr>
              <w:spacing w:after="60"/>
              <w:ind w:left="70"/>
              <w:contextualSpacing/>
            </w:pPr>
          </w:p>
        </w:tc>
      </w:tr>
      <w:tr w:rsidR="00595EB1" w:rsidRPr="00595EB1" w:rsidTr="00595EB1">
        <w:trPr>
          <w:trHeight w:val="603"/>
        </w:trPr>
        <w:tc>
          <w:tcPr>
            <w:tcW w:w="262" w:type="pct"/>
            <w:vMerge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t xml:space="preserve">liczba osób, które skorzystały z miejsc noclegowych w ciągu roku 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</w:pPr>
            <w:r w:rsidRPr="00595EB1">
              <w:t>sztuka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0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</w:pPr>
            <w:r w:rsidRPr="00595EB1">
              <w:t>50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  <w:ind w:left="70"/>
              <w:contextualSpacing/>
            </w:pPr>
            <w:r w:rsidRPr="00595EB1">
              <w:t xml:space="preserve">sprawozdanie beneficjenta </w:t>
            </w:r>
            <w:r w:rsidRPr="00595EB1">
              <w:br/>
              <w:t>z realizacji operacji</w:t>
            </w:r>
          </w:p>
          <w:p w:rsidR="00595EB1" w:rsidRPr="00595EB1" w:rsidRDefault="00595EB1" w:rsidP="00595EB1">
            <w:pPr>
              <w:spacing w:after="60"/>
              <w:ind w:left="70"/>
              <w:contextualSpacing/>
            </w:pPr>
          </w:p>
        </w:tc>
      </w:tr>
      <w:tr w:rsidR="00595EB1" w:rsidRPr="00595EB1" w:rsidTr="00595EB1">
        <w:trPr>
          <w:trHeight w:val="556"/>
        </w:trPr>
        <w:tc>
          <w:tcPr>
            <w:tcW w:w="262" w:type="pct"/>
            <w:vMerge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t>liczba utworzonych miejsc pracy (ogółem)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</w:pPr>
            <w:r w:rsidRPr="00595EB1">
              <w:t>sztuka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0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</w:pPr>
            <w:r w:rsidRPr="00595EB1">
              <w:t>20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  <w:ind w:left="70"/>
              <w:contextualSpacing/>
            </w:pPr>
            <w:r w:rsidRPr="00595EB1">
              <w:t xml:space="preserve">sprawozdanie beneficjenta </w:t>
            </w:r>
            <w:r w:rsidRPr="00595EB1">
              <w:br/>
              <w:t>z realizacji operacji</w:t>
            </w:r>
          </w:p>
          <w:p w:rsidR="00595EB1" w:rsidRPr="00595EB1" w:rsidRDefault="00595EB1" w:rsidP="00595EB1">
            <w:pPr>
              <w:spacing w:after="60"/>
              <w:ind w:left="70"/>
              <w:contextualSpacing/>
            </w:pPr>
          </w:p>
        </w:tc>
      </w:tr>
      <w:tr w:rsidR="00595EB1" w:rsidRPr="00595EB1" w:rsidTr="00595EB1">
        <w:trPr>
          <w:trHeight w:val="538"/>
        </w:trPr>
        <w:tc>
          <w:tcPr>
            <w:tcW w:w="262" w:type="pct"/>
            <w:vMerge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rPr>
                <w:rFonts w:eastAsia="Calibri" w:cs="Times New Roman"/>
              </w:rPr>
              <w:t>liczba zatrudnionych osób należących do grup defaworyzowanych (wraz z samozatrudnieniem)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</w:pPr>
            <w:r w:rsidRPr="00595EB1">
              <w:t>sztuka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0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</w:pPr>
            <w:r w:rsidRPr="00595EB1">
              <w:t>9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</w:pPr>
            <w:r w:rsidRPr="00595EB1">
              <w:t xml:space="preserve">sprawozdanie beneficjenta </w:t>
            </w:r>
            <w:r w:rsidRPr="00595EB1">
              <w:br/>
              <w:t>z realizacji operacji</w:t>
            </w:r>
          </w:p>
          <w:p w:rsidR="00595EB1" w:rsidRPr="00595EB1" w:rsidRDefault="00595EB1" w:rsidP="00595EB1">
            <w:pPr>
              <w:spacing w:after="60"/>
              <w:jc w:val="both"/>
            </w:pPr>
          </w:p>
        </w:tc>
      </w:tr>
      <w:tr w:rsidR="00595EB1" w:rsidRPr="00595EB1" w:rsidTr="00595EB1">
        <w:trPr>
          <w:trHeight w:val="464"/>
        </w:trPr>
        <w:tc>
          <w:tcPr>
            <w:tcW w:w="262" w:type="pct"/>
            <w:vMerge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rPr>
                <w:rFonts w:eastAsia="Calibri" w:cs="Times New Roman"/>
              </w:rPr>
              <w:t>liczba utworzonych lub utrzymanych miejsc pracy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</w:pPr>
            <w:r w:rsidRPr="00595EB1">
              <w:t>sztuka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0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  <w:rPr>
                <w:strike/>
              </w:rPr>
            </w:pPr>
            <w:r w:rsidRPr="00595EB1">
              <w:t>12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</w:pPr>
            <w:r w:rsidRPr="00595EB1">
              <w:t xml:space="preserve">sprawozdanie beneficjenta </w:t>
            </w:r>
            <w:r w:rsidRPr="00595EB1">
              <w:br/>
              <w:t>z realizacji operacji</w:t>
            </w:r>
          </w:p>
          <w:p w:rsidR="00595EB1" w:rsidRPr="00595EB1" w:rsidRDefault="00595EB1" w:rsidP="00595EB1">
            <w:pPr>
              <w:spacing w:after="60"/>
            </w:pPr>
          </w:p>
        </w:tc>
      </w:tr>
      <w:tr w:rsidR="00595EB1" w:rsidRPr="00595EB1" w:rsidTr="00595EB1">
        <w:trPr>
          <w:trHeight w:val="548"/>
        </w:trPr>
        <w:tc>
          <w:tcPr>
            <w:tcW w:w="262" w:type="pct"/>
            <w:vMerge/>
          </w:tcPr>
          <w:p w:rsidR="00595EB1" w:rsidRPr="00595EB1" w:rsidRDefault="00595EB1" w:rsidP="00595EB1">
            <w:pPr>
              <w:spacing w:after="60"/>
              <w:rPr>
                <w:b/>
                <w:bCs/>
              </w:rPr>
            </w:pPr>
          </w:p>
        </w:tc>
        <w:tc>
          <w:tcPr>
            <w:tcW w:w="723" w:type="pct"/>
          </w:tcPr>
          <w:p w:rsidR="00595EB1" w:rsidRPr="00595EB1" w:rsidRDefault="00595EB1" w:rsidP="00595EB1">
            <w:pPr>
              <w:spacing w:after="60"/>
            </w:pPr>
          </w:p>
        </w:tc>
        <w:tc>
          <w:tcPr>
            <w:tcW w:w="1680" w:type="pct"/>
          </w:tcPr>
          <w:p w:rsidR="00595EB1" w:rsidRPr="00595EB1" w:rsidRDefault="00595EB1" w:rsidP="00595EB1">
            <w:pPr>
              <w:spacing w:after="60"/>
            </w:pPr>
            <w:r w:rsidRPr="00595EB1">
              <w:t>liczba nowych podmiotów należących do szlaków</w:t>
            </w:r>
          </w:p>
        </w:tc>
        <w:tc>
          <w:tcPr>
            <w:tcW w:w="323" w:type="pct"/>
          </w:tcPr>
          <w:p w:rsidR="00595EB1" w:rsidRPr="00595EB1" w:rsidRDefault="00595EB1" w:rsidP="00595EB1">
            <w:pPr>
              <w:spacing w:after="60"/>
            </w:pPr>
            <w:r w:rsidRPr="00595EB1">
              <w:t>sztuka</w:t>
            </w:r>
          </w:p>
        </w:tc>
        <w:tc>
          <w:tcPr>
            <w:tcW w:w="540" w:type="pct"/>
          </w:tcPr>
          <w:p w:rsidR="00595EB1" w:rsidRPr="00595EB1" w:rsidRDefault="00595EB1" w:rsidP="00595EB1">
            <w:pPr>
              <w:spacing w:after="60"/>
            </w:pPr>
            <w:r w:rsidRPr="00595EB1">
              <w:t>0</w:t>
            </w:r>
          </w:p>
        </w:tc>
        <w:tc>
          <w:tcPr>
            <w:tcW w:w="350" w:type="pct"/>
          </w:tcPr>
          <w:p w:rsidR="00595EB1" w:rsidRPr="00595EB1" w:rsidRDefault="00595EB1" w:rsidP="00595EB1">
            <w:pPr>
              <w:spacing w:after="60"/>
            </w:pPr>
            <w:r w:rsidRPr="00595EB1">
              <w:t>4</w:t>
            </w:r>
          </w:p>
        </w:tc>
        <w:tc>
          <w:tcPr>
            <w:tcW w:w="1122" w:type="pct"/>
          </w:tcPr>
          <w:p w:rsidR="00595EB1" w:rsidRPr="00595EB1" w:rsidRDefault="00595EB1" w:rsidP="00595EB1">
            <w:pPr>
              <w:spacing w:after="60"/>
              <w:ind w:left="70"/>
              <w:contextualSpacing/>
            </w:pPr>
            <w:r w:rsidRPr="00595EB1">
              <w:t xml:space="preserve">sprawozdanie beneficjenta </w:t>
            </w:r>
            <w:r w:rsidRPr="00595EB1">
              <w:br/>
              <w:t>z realizacji operacji</w:t>
            </w:r>
          </w:p>
          <w:p w:rsidR="00595EB1" w:rsidRPr="00595EB1" w:rsidRDefault="00595EB1" w:rsidP="00595EB1">
            <w:pPr>
              <w:spacing w:after="60"/>
              <w:ind w:left="70"/>
              <w:contextualSpacing/>
            </w:pPr>
          </w:p>
        </w:tc>
      </w:tr>
    </w:tbl>
    <w:p w:rsidR="00595EB1" w:rsidRDefault="00595EB1" w:rsidP="00595EB1">
      <w:pPr>
        <w:keepNext/>
        <w:spacing w:after="0" w:line="240" w:lineRule="auto"/>
        <w:jc w:val="both"/>
        <w:rPr>
          <w:rFonts w:ascii="Calibri" w:hAnsi="Calibri"/>
          <w:b/>
          <w:bCs/>
        </w:rPr>
      </w:pPr>
      <w:bookmarkStart w:id="2" w:name="_Toc438654648"/>
      <w:bookmarkStart w:id="3" w:name="_Toc438992428"/>
    </w:p>
    <w:p w:rsidR="00595EB1" w:rsidRDefault="00595EB1" w:rsidP="00595EB1">
      <w:pPr>
        <w:keepNext/>
        <w:spacing w:after="0" w:line="240" w:lineRule="auto"/>
        <w:jc w:val="both"/>
        <w:rPr>
          <w:rFonts w:ascii="Calibri" w:hAnsi="Calibri"/>
          <w:b/>
          <w:bCs/>
        </w:rPr>
      </w:pPr>
    </w:p>
    <w:p w:rsidR="00595EB1" w:rsidRPr="00595EB1" w:rsidRDefault="00595EB1" w:rsidP="00595EB1">
      <w:pPr>
        <w:keepNext/>
        <w:spacing w:after="0" w:line="240" w:lineRule="auto"/>
        <w:jc w:val="both"/>
        <w:rPr>
          <w:rFonts w:ascii="Calibri" w:hAnsi="Calibri"/>
          <w:bCs/>
        </w:rPr>
      </w:pPr>
      <w:r w:rsidRPr="00595EB1">
        <w:rPr>
          <w:rFonts w:ascii="Calibri" w:hAnsi="Calibri"/>
          <w:b/>
          <w:bCs/>
        </w:rPr>
        <w:t xml:space="preserve">Tabela </w:t>
      </w:r>
      <w:r w:rsidRPr="00595EB1">
        <w:rPr>
          <w:rFonts w:ascii="Calibri" w:hAnsi="Calibri"/>
          <w:b/>
          <w:bCs/>
        </w:rPr>
        <w:fldChar w:fldCharType="begin"/>
      </w:r>
      <w:r w:rsidRPr="00595EB1">
        <w:rPr>
          <w:rFonts w:ascii="Calibri" w:hAnsi="Calibri"/>
          <w:b/>
          <w:bCs/>
        </w:rPr>
        <w:instrText xml:space="preserve"> SEQ Tabela \* ARABIC </w:instrText>
      </w:r>
      <w:r w:rsidRPr="00595EB1">
        <w:rPr>
          <w:rFonts w:ascii="Calibri" w:hAnsi="Calibri"/>
          <w:b/>
          <w:bCs/>
        </w:rPr>
        <w:fldChar w:fldCharType="separate"/>
      </w:r>
      <w:r w:rsidRPr="00595EB1">
        <w:rPr>
          <w:rFonts w:ascii="Calibri" w:hAnsi="Calibri"/>
          <w:b/>
          <w:bCs/>
          <w:noProof/>
        </w:rPr>
        <w:t>24</w:t>
      </w:r>
      <w:r w:rsidRPr="00595EB1">
        <w:rPr>
          <w:rFonts w:ascii="Calibri" w:hAnsi="Calibri"/>
          <w:b/>
          <w:bCs/>
        </w:rPr>
        <w:fldChar w:fldCharType="end"/>
      </w:r>
      <w:r w:rsidRPr="00595EB1">
        <w:rPr>
          <w:rFonts w:ascii="Calibri" w:hAnsi="Calibri"/>
          <w:b/>
          <w:bCs/>
        </w:rPr>
        <w:t>.</w:t>
      </w:r>
      <w:r w:rsidRPr="00595EB1">
        <w:rPr>
          <w:rFonts w:ascii="Calibri" w:hAnsi="Calibri"/>
          <w:bCs/>
        </w:rPr>
        <w:t xml:space="preserve"> Matryca logiczna elementów LSR.</w:t>
      </w:r>
      <w:bookmarkEnd w:id="2"/>
      <w:bookmarkEnd w:id="3"/>
    </w:p>
    <w:tbl>
      <w:tblPr>
        <w:tblStyle w:val="RozdziaV"/>
        <w:tblW w:w="5000" w:type="pct"/>
        <w:tblLayout w:type="fixed"/>
        <w:tblLook w:val="04A0" w:firstRow="1" w:lastRow="0" w:firstColumn="1" w:lastColumn="0" w:noHBand="0" w:noVBand="1"/>
      </w:tblPr>
      <w:tblGrid>
        <w:gridCol w:w="3216"/>
        <w:gridCol w:w="1172"/>
        <w:gridCol w:w="398"/>
        <w:gridCol w:w="850"/>
        <w:gridCol w:w="1559"/>
        <w:gridCol w:w="3035"/>
        <w:gridCol w:w="2528"/>
        <w:gridCol w:w="1462"/>
      </w:tblGrid>
      <w:tr w:rsidR="00595EB1" w:rsidRPr="00595EB1" w:rsidTr="00595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9"/>
        </w:trPr>
        <w:tc>
          <w:tcPr>
            <w:tcW w:w="1131" w:type="pct"/>
            <w:tcBorders>
              <w:bottom w:val="single" w:sz="4" w:space="0" w:color="auto"/>
            </w:tcBorders>
          </w:tcPr>
          <w:p w:rsidR="00595EB1" w:rsidRPr="00595EB1" w:rsidRDefault="00595EB1" w:rsidP="00595EB1">
            <w:r w:rsidRPr="00595EB1">
              <w:t>Elementy analizy SWOT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textDirection w:val="btLr"/>
          </w:tcPr>
          <w:p w:rsidR="00595EB1" w:rsidRPr="00595EB1" w:rsidRDefault="00595EB1" w:rsidP="00595EB1">
            <w:pPr>
              <w:ind w:left="113" w:right="113"/>
            </w:pPr>
            <w:r w:rsidRPr="00595EB1">
              <w:t>Elementy diagnozy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textDirection w:val="btLr"/>
          </w:tcPr>
          <w:p w:rsidR="00595EB1" w:rsidRPr="00595EB1" w:rsidRDefault="00595EB1" w:rsidP="00595EB1">
            <w:pPr>
              <w:ind w:left="113" w:right="113"/>
            </w:pPr>
            <w:r w:rsidRPr="00595EB1">
              <w:t>Cel główny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extDirection w:val="btLr"/>
          </w:tcPr>
          <w:p w:rsidR="00595EB1" w:rsidRPr="00595EB1" w:rsidRDefault="00595EB1" w:rsidP="00595EB1">
            <w:pPr>
              <w:ind w:left="113" w:right="113"/>
            </w:pPr>
            <w:r w:rsidRPr="00595EB1">
              <w:t>Cel szczegółowy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595EB1" w:rsidRPr="00595EB1" w:rsidRDefault="00595EB1" w:rsidP="00595EB1">
            <w:r w:rsidRPr="00595EB1">
              <w:t>Przedsięwzięcia</w:t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:rsidR="00595EB1" w:rsidRPr="00595EB1" w:rsidRDefault="00595EB1" w:rsidP="00595EB1">
            <w:r w:rsidRPr="00595EB1">
              <w:t>Wskaźniki produktu</w:t>
            </w: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595EB1" w:rsidRPr="00595EB1" w:rsidRDefault="00595EB1" w:rsidP="00595EB1">
            <w:r w:rsidRPr="00595EB1">
              <w:t>Wskaźniki rezultatu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595EB1" w:rsidRPr="00595EB1" w:rsidRDefault="00595EB1" w:rsidP="00595EB1">
            <w:r w:rsidRPr="00595EB1">
              <w:t>Oddziaływanie</w:t>
            </w:r>
          </w:p>
        </w:tc>
      </w:tr>
      <w:tr w:rsidR="00595EB1" w:rsidRPr="00595EB1" w:rsidTr="00595EB1">
        <w:trPr>
          <w:trHeight w:val="3676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B1" w:rsidRPr="00595EB1" w:rsidRDefault="00595EB1" w:rsidP="00EF227F">
            <w:pPr>
              <w:numPr>
                <w:ilvl w:val="0"/>
                <w:numId w:val="5"/>
              </w:numPr>
              <w:ind w:left="70" w:hanging="142"/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595EB1">
              <w:rPr>
                <w:rFonts w:eastAsia="Times New Roman" w:cs="Times New Roman"/>
                <w:lang w:eastAsia="pl-PL"/>
              </w:rPr>
              <w:t xml:space="preserve">Sezonowość, w szczególności </w:t>
            </w:r>
            <w:r w:rsidRPr="00595EB1">
              <w:rPr>
                <w:rFonts w:eastAsia="Times New Roman" w:cs="Times New Roman"/>
                <w:lang w:eastAsia="pl-PL"/>
              </w:rPr>
              <w:br/>
              <w:t xml:space="preserve">w sektorze turystycznym – uzależnienie oferty od pogody </w:t>
            </w:r>
            <w:r w:rsidRPr="00595EB1">
              <w:rPr>
                <w:rFonts w:eastAsia="Times New Roman" w:cs="Times New Roman"/>
                <w:lang w:eastAsia="pl-PL"/>
              </w:rPr>
              <w:br/>
              <w:t>i pory roku</w:t>
            </w:r>
          </w:p>
          <w:p w:rsidR="00595EB1" w:rsidRPr="00595EB1" w:rsidRDefault="00595EB1" w:rsidP="00EF227F">
            <w:pPr>
              <w:numPr>
                <w:ilvl w:val="0"/>
                <w:numId w:val="5"/>
              </w:numPr>
              <w:ind w:left="70" w:hanging="142"/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595EB1">
              <w:rPr>
                <w:rFonts w:eastAsia="Times New Roman" w:cs="Times New Roman"/>
                <w:lang w:eastAsia="pl-PL"/>
              </w:rPr>
              <w:t>Słabo rozwinięta oferta turystyki aktywnej i oferta uprawiania sportów wodnych</w:t>
            </w:r>
          </w:p>
          <w:p w:rsidR="00595EB1" w:rsidRPr="00595EB1" w:rsidRDefault="00595EB1" w:rsidP="00EF227F">
            <w:pPr>
              <w:numPr>
                <w:ilvl w:val="0"/>
                <w:numId w:val="5"/>
              </w:numPr>
              <w:ind w:left="70" w:hanging="142"/>
              <w:contextualSpacing/>
              <w:jc w:val="both"/>
            </w:pPr>
            <w:r w:rsidRPr="00595EB1">
              <w:rPr>
                <w:rFonts w:eastAsia="Times New Roman" w:cs="Times New Roman"/>
                <w:lang w:eastAsia="pl-PL"/>
              </w:rPr>
              <w:t>Słabo wykorzystany potencjał turystyki morskiej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B1" w:rsidRPr="00595EB1" w:rsidRDefault="00595EB1" w:rsidP="00595EB1">
            <w:pPr>
              <w:rPr>
                <w:rFonts w:eastAsia="Times New Roman" w:cs="Times New Roman"/>
                <w:color w:val="00000A"/>
                <w:lang w:eastAsia="pl-PL"/>
              </w:rPr>
            </w:pPr>
            <w:r w:rsidRPr="00595EB1">
              <w:rPr>
                <w:rFonts w:eastAsia="Times New Roman" w:cs="Times New Roman"/>
                <w:color w:val="00000A"/>
                <w:lang w:eastAsia="pl-PL"/>
              </w:rPr>
              <w:t>Rozdz. III.</w:t>
            </w:r>
          </w:p>
          <w:p w:rsidR="00595EB1" w:rsidRPr="00595EB1" w:rsidRDefault="00595EB1" w:rsidP="00595EB1">
            <w:r w:rsidRPr="00595EB1">
              <w:rPr>
                <w:rFonts w:eastAsia="Times New Roman" w:cs="Times New Roman"/>
                <w:color w:val="00000A"/>
                <w:lang w:eastAsia="pl-PL"/>
              </w:rPr>
              <w:t>2.2.1.; 3.2.3.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EB1" w:rsidRPr="00595EB1" w:rsidRDefault="00595EB1" w:rsidP="00595EB1">
            <w:pPr>
              <w:ind w:left="113" w:right="113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5EB1" w:rsidRPr="00595EB1" w:rsidRDefault="00595EB1" w:rsidP="00595EB1">
            <w:pPr>
              <w:ind w:left="113" w:right="113"/>
              <w:rPr>
                <w:b/>
              </w:rPr>
            </w:pPr>
            <w:r w:rsidRPr="00595EB1">
              <w:rPr>
                <w:b/>
              </w:rPr>
              <w:t xml:space="preserve">2.3. Zwiększenie atrakcyjności i </w:t>
            </w:r>
            <w:r>
              <w:rPr>
                <w:b/>
              </w:rPr>
              <w:br/>
            </w:r>
            <w:r w:rsidRPr="00595EB1">
              <w:rPr>
                <w:b/>
              </w:rPr>
              <w:t>różnorodności turystycznej obszaru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B1" w:rsidRPr="00595EB1" w:rsidRDefault="00595EB1" w:rsidP="00595EB1">
            <w:r w:rsidRPr="00595EB1">
              <w:t>2.3.1.Tworzenie, rozwój i wyposażenie infrastruktury turystycznej i rekreacyjnej historycznie lub terytorialnie związanych z działalnością rybacką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B1" w:rsidRPr="00595EB1" w:rsidRDefault="00595EB1" w:rsidP="00EF227F">
            <w:pPr>
              <w:numPr>
                <w:ilvl w:val="0"/>
                <w:numId w:val="6"/>
              </w:numPr>
              <w:ind w:left="176" w:hanging="176"/>
              <w:contextualSpacing/>
              <w:jc w:val="both"/>
            </w:pPr>
            <w:r w:rsidRPr="00595EB1">
              <w:t>liczba nowych, przebudowanych lub wyposażonych obiektów infrastruktury turystycznej i rekreacyjno-sportowej – 9</w:t>
            </w:r>
          </w:p>
          <w:p w:rsidR="00595EB1" w:rsidRPr="00595EB1" w:rsidRDefault="00595EB1" w:rsidP="00EF227F">
            <w:pPr>
              <w:numPr>
                <w:ilvl w:val="0"/>
                <w:numId w:val="6"/>
              </w:numPr>
              <w:ind w:left="176" w:hanging="176"/>
              <w:contextualSpacing/>
              <w:jc w:val="both"/>
            </w:pPr>
            <w:r w:rsidRPr="00595EB1">
              <w:t>liczba  obiektów infrastruktury turystycznej i rekreacyjno-sportowej dostosowanych do potrzeb osób niepełnosprawnych i seniorów – 5</w:t>
            </w:r>
          </w:p>
          <w:p w:rsidR="00595EB1" w:rsidRPr="00595EB1" w:rsidRDefault="00595EB1" w:rsidP="00EF227F">
            <w:pPr>
              <w:numPr>
                <w:ilvl w:val="0"/>
                <w:numId w:val="6"/>
              </w:numPr>
              <w:ind w:left="176" w:hanging="176"/>
              <w:contextualSpacing/>
              <w:jc w:val="both"/>
            </w:pPr>
            <w:r w:rsidRPr="00595EB1">
              <w:t>liczba operacji nastawiona na innowacje – 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B1" w:rsidRPr="00595EB1" w:rsidRDefault="00595EB1" w:rsidP="00EF227F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</w:pPr>
            <w:r w:rsidRPr="00595EB1">
              <w:rPr>
                <w:rFonts w:eastAsia="Calibri" w:cs="Times New Roman"/>
              </w:rPr>
              <w:t>liczba miejscowości objętych operacją, w których dotychczas nie istniała infrastruktura turystyczna – 1</w:t>
            </w:r>
          </w:p>
          <w:p w:rsidR="00595EB1" w:rsidRPr="00595EB1" w:rsidRDefault="00840B93" w:rsidP="00EF227F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</w:pPr>
            <w:r w:rsidRPr="00840B93">
              <w:rPr>
                <w:i/>
                <w:highlight w:val="yellow"/>
              </w:rPr>
              <w:t>Wzrost liczby osób korzystających ze stworzonej, rozwiniętej lub wyposażonej infrastruktury turystycznej</w:t>
            </w:r>
            <w:r w:rsidR="00EF227F" w:rsidRPr="00EF227F">
              <w:rPr>
                <w:highlight w:val="yellow"/>
              </w:rPr>
              <w:t xml:space="preserve"> – o 30%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B1" w:rsidRPr="00595EB1" w:rsidRDefault="00595EB1" w:rsidP="00595EB1">
            <w:pPr>
              <w:jc w:val="both"/>
            </w:pPr>
          </w:p>
        </w:tc>
      </w:tr>
    </w:tbl>
    <w:p w:rsidR="00DD041D" w:rsidRDefault="00DD041D"/>
    <w:p w:rsidR="00A94FF9" w:rsidRDefault="00A94FF9"/>
    <w:p w:rsidR="00A94FF9" w:rsidRDefault="00A94FF9"/>
    <w:p w:rsidR="00A94FF9" w:rsidRDefault="00A94FF9">
      <w:pPr>
        <w:sectPr w:rsidR="00A94FF9" w:rsidSect="00595EB1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94FF9" w:rsidRDefault="00A94FF9"/>
    <w:p w:rsidR="00A94FF9" w:rsidRDefault="00A94FF9"/>
    <w:p w:rsidR="00A94FF9" w:rsidRDefault="00A94FF9"/>
    <w:p w:rsidR="00A94FF9" w:rsidRDefault="00A94FF9" w:rsidP="00A94FF9">
      <w:pPr>
        <w:jc w:val="center"/>
        <w:rPr>
          <w:b/>
        </w:rPr>
      </w:pPr>
      <w:r w:rsidRPr="00A94FF9">
        <w:rPr>
          <w:b/>
        </w:rPr>
        <w:t>Wyciąg z Księgi Procedur i Kryteriów SGR z naniesionymi zmianami</w:t>
      </w:r>
    </w:p>
    <w:p w:rsidR="00A94FF9" w:rsidRPr="00A94FF9" w:rsidRDefault="00A94FF9" w:rsidP="00A94FF9">
      <w:pPr>
        <w:spacing w:after="120" w:line="240" w:lineRule="auto"/>
        <w:jc w:val="right"/>
        <w:rPr>
          <w:rFonts w:ascii="Calibri" w:eastAsia="Calibri" w:hAnsi="Calibri" w:cs="Calibri"/>
          <w:b/>
          <w:color w:val="000000"/>
          <w:sz w:val="20"/>
        </w:rPr>
      </w:pPr>
      <w:r w:rsidRPr="00A94FF9">
        <w:rPr>
          <w:rFonts w:ascii="Calibri" w:eastAsia="Calibri" w:hAnsi="Calibri" w:cs="Calibri"/>
          <w:b/>
          <w:color w:val="000000"/>
          <w:sz w:val="20"/>
        </w:rPr>
        <w:t>WZÓR 10 G</w:t>
      </w:r>
    </w:p>
    <w:p w:rsidR="00A94FF9" w:rsidRPr="00A94FF9" w:rsidRDefault="00A94FF9" w:rsidP="00A94FF9">
      <w:pPr>
        <w:spacing w:after="120"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A94FF9">
        <w:rPr>
          <w:rFonts w:ascii="Calibri" w:eastAsia="Calibri" w:hAnsi="Calibri" w:cs="Calibri"/>
          <w:b/>
          <w:color w:val="000000"/>
        </w:rPr>
        <w:t>KARTY OCENY OPERACJI POD WZGLĘDEM SPEŁNIANIA KRYTERIÓW WYBORU LSR</w:t>
      </w:r>
    </w:p>
    <w:p w:rsidR="00A94FF9" w:rsidRPr="00A94FF9" w:rsidRDefault="00A94FF9" w:rsidP="00A94FF9">
      <w:pPr>
        <w:spacing w:after="0" w:line="240" w:lineRule="auto"/>
        <w:ind w:left="-851"/>
        <w:jc w:val="both"/>
        <w:rPr>
          <w:rFonts w:ascii="Calibri" w:eastAsia="Calibri" w:hAnsi="Calibri" w:cs="Times New Roman"/>
          <w:sz w:val="20"/>
          <w:szCs w:val="20"/>
        </w:rPr>
      </w:pPr>
      <w:r w:rsidRPr="00A94FF9">
        <w:rPr>
          <w:rFonts w:ascii="Calibri" w:eastAsia="Calibri" w:hAnsi="Calibri" w:cs="Times New Roman"/>
          <w:sz w:val="20"/>
          <w:szCs w:val="20"/>
        </w:rPr>
        <w:t>Data ogłoszenia naboru: ……………………………………………</w:t>
      </w:r>
    </w:p>
    <w:p w:rsidR="00A94FF9" w:rsidRPr="00A94FF9" w:rsidRDefault="00A94FF9" w:rsidP="00A94FF9">
      <w:pPr>
        <w:spacing w:after="0" w:line="240" w:lineRule="auto"/>
        <w:ind w:left="-851"/>
        <w:jc w:val="both"/>
        <w:rPr>
          <w:rFonts w:ascii="Calibri" w:eastAsia="Calibri" w:hAnsi="Calibri" w:cs="Times New Roman"/>
          <w:sz w:val="20"/>
          <w:szCs w:val="20"/>
        </w:rPr>
      </w:pPr>
      <w:r w:rsidRPr="00A94FF9">
        <w:rPr>
          <w:rFonts w:ascii="Calibri" w:eastAsia="Calibri" w:hAnsi="Calibri" w:cs="Times New Roman"/>
          <w:sz w:val="20"/>
          <w:szCs w:val="20"/>
        </w:rPr>
        <w:t>Oznaczenie naboru: …………………………………………..………</w:t>
      </w:r>
    </w:p>
    <w:p w:rsidR="00A94FF9" w:rsidRPr="00A94FF9" w:rsidRDefault="00A94FF9" w:rsidP="00A94FF9">
      <w:pPr>
        <w:spacing w:after="0" w:line="240" w:lineRule="auto"/>
        <w:ind w:left="-851"/>
        <w:jc w:val="both"/>
        <w:rPr>
          <w:rFonts w:ascii="Calibri" w:eastAsia="Calibri" w:hAnsi="Calibri" w:cs="Times New Roman"/>
          <w:sz w:val="20"/>
          <w:szCs w:val="20"/>
        </w:rPr>
      </w:pPr>
      <w:r w:rsidRPr="00A94FF9">
        <w:rPr>
          <w:rFonts w:ascii="Calibri" w:eastAsia="Calibri" w:hAnsi="Calibri" w:cs="Times New Roman"/>
          <w:sz w:val="20"/>
          <w:szCs w:val="20"/>
        </w:rPr>
        <w:t>Konkurs realizowany w ramach:</w:t>
      </w:r>
    </w:p>
    <w:p w:rsidR="00A94FF9" w:rsidRPr="00A94FF9" w:rsidRDefault="00A94FF9" w:rsidP="00A94FF9">
      <w:pPr>
        <w:spacing w:after="0" w:line="240" w:lineRule="auto"/>
        <w:ind w:left="-851"/>
        <w:jc w:val="both"/>
        <w:rPr>
          <w:rFonts w:ascii="Calibri" w:eastAsia="Calibri" w:hAnsi="Calibri" w:cs="Times New Roman"/>
          <w:sz w:val="20"/>
          <w:szCs w:val="20"/>
        </w:rPr>
      </w:pPr>
      <w:r w:rsidRPr="00A94FF9">
        <w:rPr>
          <w:rFonts w:ascii="Calibri" w:eastAsia="Calibri" w:hAnsi="Calibri" w:cs="Times New Roman"/>
          <w:sz w:val="20"/>
          <w:szCs w:val="20"/>
        </w:rPr>
        <w:t>Celu Szczegółowego: 2.3. Zwiększenie atrakcyjności i różnorodności turystycznej obszaru.</w:t>
      </w:r>
    </w:p>
    <w:p w:rsidR="00A94FF9" w:rsidRPr="00A94FF9" w:rsidRDefault="00A94FF9" w:rsidP="00A94FF9">
      <w:pPr>
        <w:spacing w:after="60" w:line="240" w:lineRule="auto"/>
        <w:ind w:left="-851"/>
        <w:jc w:val="both"/>
        <w:rPr>
          <w:rFonts w:ascii="Calibri" w:eastAsia="Calibri" w:hAnsi="Calibri" w:cs="Times New Roman"/>
          <w:sz w:val="20"/>
          <w:szCs w:val="20"/>
        </w:rPr>
      </w:pPr>
      <w:r w:rsidRPr="00A94FF9">
        <w:rPr>
          <w:rFonts w:ascii="Calibri" w:eastAsia="Calibri" w:hAnsi="Calibri" w:cs="Times New Roman"/>
          <w:sz w:val="20"/>
          <w:szCs w:val="20"/>
        </w:rPr>
        <w:t>Przedsięwzięcia: 2.3.1. Tworzenie, rozwój i wyposażenie infrastruktury turystycznej i rekreacyjnej historycznie lub terytorialnie związanych z działalnością rybacką.</w:t>
      </w:r>
    </w:p>
    <w:tbl>
      <w:tblPr>
        <w:tblW w:w="10914" w:type="dxa"/>
        <w:jc w:val="center"/>
        <w:tblInd w:w="-8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7015"/>
      </w:tblGrid>
      <w:tr w:rsidR="00A94FF9" w:rsidRPr="00A94FF9" w:rsidTr="007A2CDF">
        <w:trPr>
          <w:jc w:val="center"/>
        </w:trPr>
        <w:tc>
          <w:tcPr>
            <w:tcW w:w="3899" w:type="dxa"/>
            <w:vAlign w:val="center"/>
          </w:tcPr>
          <w:p w:rsidR="00A94FF9" w:rsidRPr="00A94FF9" w:rsidRDefault="00A94FF9" w:rsidP="00A94FF9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Numer sprawy: ……………………………………………</w:t>
            </w:r>
          </w:p>
        </w:tc>
        <w:tc>
          <w:tcPr>
            <w:tcW w:w="7015" w:type="dxa"/>
            <w:vAlign w:val="center"/>
          </w:tcPr>
          <w:p w:rsidR="00A94FF9" w:rsidRPr="00A94FF9" w:rsidRDefault="00A94FF9" w:rsidP="00A94FF9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Imię i Nazwisko/Nazwa wnioskodawcy: …………………………………………………………………</w:t>
            </w:r>
          </w:p>
        </w:tc>
      </w:tr>
      <w:tr w:rsidR="00A94FF9" w:rsidRPr="00A94FF9" w:rsidTr="007A2CDF">
        <w:trPr>
          <w:jc w:val="center"/>
        </w:trPr>
        <w:tc>
          <w:tcPr>
            <w:tcW w:w="10914" w:type="dxa"/>
            <w:gridSpan w:val="2"/>
            <w:vAlign w:val="center"/>
          </w:tcPr>
          <w:p w:rsidR="00A94FF9" w:rsidRPr="00A94FF9" w:rsidRDefault="00A94FF9" w:rsidP="00A94FF9">
            <w:pPr>
              <w:spacing w:before="120" w:after="12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Tytuł operacji: 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A94FF9" w:rsidRPr="00A94FF9" w:rsidRDefault="00A94FF9" w:rsidP="00A94FF9">
      <w:pPr>
        <w:spacing w:before="120" w:after="120" w:line="240" w:lineRule="auto"/>
        <w:ind w:left="-851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94FF9">
        <w:rPr>
          <w:rFonts w:ascii="Calibri" w:eastAsia="Calibri" w:hAnsi="Calibri" w:cs="Times New Roman"/>
          <w:b/>
          <w:sz w:val="20"/>
          <w:szCs w:val="20"/>
        </w:rPr>
        <w:t>Maksymalna ilość punktów w ramach przedsięwzięcia: 25 pkt.</w:t>
      </w:r>
    </w:p>
    <w:p w:rsidR="00A94FF9" w:rsidRPr="00A94FF9" w:rsidRDefault="00A94FF9" w:rsidP="00A94FF9">
      <w:pPr>
        <w:spacing w:after="60" w:line="240" w:lineRule="auto"/>
        <w:ind w:left="-851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A94FF9">
        <w:rPr>
          <w:rFonts w:ascii="Calibri" w:eastAsia="Calibri" w:hAnsi="Calibri" w:cs="Times New Roman"/>
          <w:i/>
          <w:sz w:val="20"/>
          <w:szCs w:val="20"/>
          <w:u w:val="single"/>
        </w:rPr>
        <w:t>Kryterium podstawowe:</w:t>
      </w:r>
      <w:r w:rsidRPr="00A94FF9">
        <w:rPr>
          <w:rFonts w:ascii="Calibri" w:eastAsia="Calibri" w:hAnsi="Calibri" w:cs="Times New Roman"/>
          <w:i/>
          <w:sz w:val="20"/>
          <w:szCs w:val="20"/>
        </w:rPr>
        <w:t xml:space="preserve"> Operacja zakłada tworzenie, rozwój lub wyposażenie infrastruktury turystycznej bezpośrednio związanej z rybactwem lub bezpośrednio nawiązującej do sportów wodnych.</w:t>
      </w:r>
    </w:p>
    <w:p w:rsidR="00A94FF9" w:rsidRPr="00A94FF9" w:rsidRDefault="00A94FF9" w:rsidP="00A94FF9">
      <w:pPr>
        <w:spacing w:after="60" w:line="240" w:lineRule="auto"/>
        <w:ind w:left="-851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A94FF9">
        <w:rPr>
          <w:rFonts w:ascii="Calibri" w:eastAsia="Calibri" w:hAnsi="Calibri" w:cs="Times New Roman"/>
          <w:i/>
          <w:sz w:val="20"/>
          <w:szCs w:val="20"/>
          <w:u w:val="single"/>
        </w:rPr>
        <w:t>Kryterium pomocnicze:</w:t>
      </w:r>
      <w:r w:rsidRPr="00A94FF9">
        <w:rPr>
          <w:rFonts w:ascii="Calibri" w:eastAsia="Calibri" w:hAnsi="Calibri" w:cs="Times New Roman"/>
          <w:i/>
          <w:sz w:val="20"/>
          <w:szCs w:val="20"/>
        </w:rPr>
        <w:t xml:space="preserve"> Operacja zakłada zastosowanie rozwiązań w zakresie zwiększenia dostępności nowej, modernizowanej lub wyposażonej infrastruktury dla potrzeb osób defaworyzowanych – seniorów i osób niepełnosprawnych.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677"/>
        <w:gridCol w:w="1134"/>
      </w:tblGrid>
      <w:tr w:rsidR="00A94FF9" w:rsidRPr="00A94FF9" w:rsidTr="007A2CDF">
        <w:trPr>
          <w:trHeight w:val="133"/>
          <w:tblHeader/>
        </w:trPr>
        <w:tc>
          <w:tcPr>
            <w:tcW w:w="992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Kryterium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>Przyznana ocena/DO UZUP.</w:t>
            </w:r>
          </w:p>
        </w:tc>
      </w:tr>
      <w:tr w:rsidR="00A94FF9" w:rsidRPr="00A94FF9" w:rsidTr="007A2CDF">
        <w:trPr>
          <w:trHeight w:val="459"/>
        </w:trPr>
        <w:tc>
          <w:tcPr>
            <w:tcW w:w="9923" w:type="dxa"/>
            <w:gridSpan w:val="2"/>
            <w:tcBorders>
              <w:bottom w:val="dotted" w:sz="4" w:space="0" w:color="auto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>Operacja zakłada tworzenie, rozwój lub wyposażenie infrastruktury turystycznej: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bezpośrednio związanej z rybactwem lub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bezpośrednio nawiązującej do sportów wodnych</w:t>
            </w:r>
          </w:p>
          <w:p w:rsidR="00A94FF9" w:rsidRPr="00A94FF9" w:rsidRDefault="00A94FF9" w:rsidP="00A94FF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wówczas otrzymuje 3 pkt.</w:t>
            </w:r>
          </w:p>
        </w:tc>
        <w:tc>
          <w:tcPr>
            <w:tcW w:w="1134" w:type="dxa"/>
            <w:vMerge w:val="restart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459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Uzasadnienie przyznanej liczby punktów/ uzasadnienie wniesienia uzupełnień w formie dokumentów lub wyjaśnień wraz z podaniem rodzaju dokumentu i charakteru wyjaśnień:</w:t>
            </w:r>
          </w:p>
        </w:tc>
        <w:tc>
          <w:tcPr>
            <w:tcW w:w="1134" w:type="dxa"/>
            <w:vMerge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521"/>
        </w:trPr>
        <w:tc>
          <w:tcPr>
            <w:tcW w:w="9923" w:type="dxa"/>
            <w:gridSpan w:val="2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>Operacja zakłada zastosowanie rozwiązań w zakresie zwiększenia dostępności nowej, modernizowanej lub wyposażonej infrastruktury dla potrzeb osób defaworyzowanych – seniorów i osób niepełnosprawnych – 0 albo 5 pkt.</w:t>
            </w:r>
          </w:p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Zastosowanie rozwiązań w zakresie zwiększenia dostępności</w:t>
            </w:r>
            <w:r w:rsidRPr="00A94FF9">
              <w:rPr>
                <w:rFonts w:ascii="Calibri" w:eastAsia="Calibri" w:hAnsi="Calibri" w:cs="Times New Roman"/>
              </w:rPr>
              <w:t xml:space="preserve"> </w:t>
            </w:r>
            <w:r w:rsidRPr="00A94FF9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dla potrzeb osób defaworyzowanych – seniorów i osób niepełnosprawnych oznacza m.in.:</w:t>
            </w:r>
          </w:p>
          <w:p w:rsidR="00A94FF9" w:rsidRPr="00A94FF9" w:rsidRDefault="00A94FF9" w:rsidP="00A94FF9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zastosowanie rozwiązań konstrukcyjnych umożliwiających osobom niepełnosprawnym ruchowo dostęp do obiektu oraz pełne korzystanie z niego, np. wykonanie pochylni, podjazdów, dostosowanie toalet, itp.,</w:t>
            </w:r>
          </w:p>
          <w:p w:rsidR="00A94FF9" w:rsidRPr="00A94FF9" w:rsidRDefault="00A94FF9" w:rsidP="00A94FF9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zastosowanie rozwiązań służących bezpieczeństwu osób niepełnosprawnych i seniorów m.in. montaż barierek i oparć w miejscach, w których istnieje zagrożenie dla ich bezpieczeństwa,</w:t>
            </w:r>
          </w:p>
          <w:p w:rsidR="00A94FF9" w:rsidRPr="00A94FF9" w:rsidRDefault="00A94FF9" w:rsidP="00A94FF9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zakup wyposażenia lub jego elementów, w tym małej infrastruktury, gwarantujących osobom starszym komfort w korzystaniu z obiektów i ich otoczenia, np.: podłokietników, regulowanych siedzisk, ławek,</w:t>
            </w:r>
          </w:p>
          <w:p w:rsidR="00A94FF9" w:rsidRPr="00A94FF9" w:rsidRDefault="00A94FF9" w:rsidP="00A94FF9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wyposażenie obiektu w sprzęt uławiający osobom starszym odbiór przekazywanych treści, np. odpowiednie nagłośnienie, wielkość ekranów, urządzenia do indywidualnego użytku cechujące się wysoką jakością obrazu lub dźwięku o wadze i gabarytach dostosowanych do możliwości fizycznych seniorów, itp.,</w:t>
            </w:r>
          </w:p>
          <w:p w:rsidR="00A94FF9" w:rsidRPr="00A94FF9" w:rsidRDefault="00A94FF9" w:rsidP="00A94FF9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 xml:space="preserve">sprzęt i wyposażenie przystosowane do potrzeb osób posiadających określoną niepełnosprawność, np. komputery dla osób niewidomych, sprzęt sportowy dla osób niepełnosprawnych ruchowo, itp. </w:t>
            </w:r>
          </w:p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i/>
                <w:sz w:val="20"/>
                <w:szCs w:val="20"/>
                <w:u w:val="single"/>
              </w:rPr>
              <w:t>Sposób weryfikacji</w:t>
            </w:r>
            <w:r w:rsidRPr="00A94FF9">
              <w:rPr>
                <w:rFonts w:ascii="Calibri" w:eastAsia="Calibri" w:hAnsi="Calibri" w:cs="Times New Roman"/>
                <w:i/>
                <w:sz w:val="20"/>
                <w:szCs w:val="20"/>
              </w:rPr>
              <w:t>: na podstawie zapisów w budżecie lub, jeżeli wnioskodawca posiada własne zasoby spełniające ww. warunki, które włączy w projekt – na podstawie zapisów we wniosku o dofinansowanie.</w:t>
            </w:r>
          </w:p>
        </w:tc>
        <w:tc>
          <w:tcPr>
            <w:tcW w:w="1134" w:type="dxa"/>
            <w:vMerge w:val="restart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521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Uzasadnienie przyznanej liczby punktów/ uzasadnienie wniesienia uzupełnień w formie dokumentów lub wyjaśnień wraz z podaniem rodzaju dokumentu i charakteru wyjaśnień:</w:t>
            </w:r>
          </w:p>
        </w:tc>
        <w:tc>
          <w:tcPr>
            <w:tcW w:w="1134" w:type="dxa"/>
            <w:vMerge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557"/>
        </w:trPr>
        <w:tc>
          <w:tcPr>
            <w:tcW w:w="9923" w:type="dxa"/>
            <w:gridSpan w:val="2"/>
            <w:tcBorders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Operacja realizowana jest w miejscowości poniżej 1000  mieszkańców – 0 albo </w:t>
            </w:r>
            <w:r w:rsidRPr="00A94FF9">
              <w:rPr>
                <w:rFonts w:ascii="Calibri" w:eastAsia="Calibri" w:hAnsi="Calibri" w:cs="Times New Roman"/>
                <w:b/>
                <w:strike/>
                <w:sz w:val="20"/>
                <w:szCs w:val="20"/>
                <w:highlight w:val="green"/>
              </w:rPr>
              <w:t>2</w:t>
            </w: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</w:t>
            </w: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pkt</w:t>
            </w:r>
            <w:r w:rsidRPr="00A94FF9">
              <w:rPr>
                <w:rFonts w:ascii="Calibri" w:eastAsia="Calibri" w:hAnsi="Calibri" w:cs="Times New Roman"/>
                <w:b/>
                <w:strike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557"/>
        </w:trPr>
        <w:tc>
          <w:tcPr>
            <w:tcW w:w="9923" w:type="dxa"/>
            <w:gridSpan w:val="2"/>
            <w:tcBorders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Uzasadnienie przyznanej liczby punktów /Uzasadnienie wniesienia uzupełnień w formie dokumentów lub wyjaśnień wraz z podaniem rodzaju dokumentu i charakteru wyjaśnień:</w:t>
            </w:r>
          </w:p>
        </w:tc>
        <w:tc>
          <w:tcPr>
            <w:tcW w:w="1134" w:type="dxa"/>
            <w:vMerge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557"/>
        </w:trPr>
        <w:tc>
          <w:tcPr>
            <w:tcW w:w="9923" w:type="dxa"/>
            <w:gridSpan w:val="2"/>
            <w:tcBorders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Operacja jest realizowana w miejscowości, w której dotychczas nie istniała infrastruktura turystyczna – 0 albo 1 pkt</w:t>
            </w:r>
          </w:p>
        </w:tc>
        <w:tc>
          <w:tcPr>
            <w:tcW w:w="1134" w:type="dxa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557"/>
        </w:trPr>
        <w:tc>
          <w:tcPr>
            <w:tcW w:w="9923" w:type="dxa"/>
            <w:gridSpan w:val="2"/>
            <w:tcBorders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Uzasadnienie przyznanej liczby punktów /Uzasadnienie wniesienia uzupełnień w formie dokumentów lub wyjaśnień wraz z podaniem rodzaju dokumentu i charakteru wyjaśnień:</w:t>
            </w:r>
          </w:p>
        </w:tc>
        <w:tc>
          <w:tcPr>
            <w:tcW w:w="1134" w:type="dxa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242"/>
        </w:trPr>
        <w:tc>
          <w:tcPr>
            <w:tcW w:w="9923" w:type="dxa"/>
            <w:gridSpan w:val="2"/>
            <w:tcBorders>
              <w:bottom w:val="dotted" w:sz="4" w:space="0" w:color="auto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</w:rPr>
              <w:t>Operacja jest innowacyjna w skali: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obszaru SGR – 4 pkt.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gminy – 2 pkt.</w:t>
            </w:r>
          </w:p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A94FF9">
              <w:rPr>
                <w:rFonts w:ascii="Calibri" w:eastAsia="Calibri" w:hAnsi="Calibri" w:cs="Times New Roman"/>
                <w:sz w:val="20"/>
              </w:rPr>
              <w:t xml:space="preserve">z tym, że </w:t>
            </w:r>
            <w:r w:rsidRPr="00A94FF9">
              <w:rPr>
                <w:rFonts w:ascii="Calibri" w:eastAsia="Calibri" w:hAnsi="Calibri" w:cs="Times New Roman"/>
                <w:sz w:val="20"/>
                <w:u w:val="single"/>
              </w:rPr>
              <w:t>innowacyjność polega na</w:t>
            </w:r>
            <w:r w:rsidRPr="00A94FF9">
              <w:rPr>
                <w:rFonts w:ascii="Calibri" w:eastAsia="Calibri" w:hAnsi="Calibri" w:cs="Times New Roman"/>
                <w:sz w:val="20"/>
              </w:rPr>
              <w:t xml:space="preserve">: 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utworzeniu infrastruktury, której dotychczas nie było w obrębie ww. obszarów lub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nadaniu istniejącej infrastrukturze nowych funkcji i zastosowań, jakich dotychczas nie było w obrębie ww. obszarów lub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wykorzystaniu jej do organizacji wydarzeń promujących obszar w odniesieniu do ww. terenów.</w:t>
            </w:r>
          </w:p>
        </w:tc>
        <w:tc>
          <w:tcPr>
            <w:tcW w:w="1134" w:type="dxa"/>
            <w:vMerge w:val="restart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242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Uzasadnienie przyznanej liczby punktów/ uzasadnienie wniesienia uzupełnień w formie dokumentów lub wyjaśnień wraz z podaniem rodzaju dokumentu i charakteru wyjaśnień:</w:t>
            </w:r>
          </w:p>
        </w:tc>
        <w:tc>
          <w:tcPr>
            <w:tcW w:w="1134" w:type="dxa"/>
            <w:vMerge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242"/>
        </w:trPr>
        <w:tc>
          <w:tcPr>
            <w:tcW w:w="9923" w:type="dxa"/>
            <w:gridSpan w:val="2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</w:rPr>
              <w:t>Operacja zakłada tworzenie lub rozwój infrastruktury towarzyszącej (np. oświetlenie, kosze na śmieci, WC, itp.) – 0 albo 4 pkt.</w:t>
            </w:r>
          </w:p>
        </w:tc>
        <w:tc>
          <w:tcPr>
            <w:tcW w:w="1134" w:type="dxa"/>
            <w:vMerge w:val="restart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242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Uzasadnienie przyznanej liczby punktów/ uzasadnienie wniesienia uzupełnień w formie dokumentów lub wyjaśnień wraz z podaniem rodzaju dokumentu i charakteru wyjaśnień:</w:t>
            </w:r>
          </w:p>
        </w:tc>
        <w:tc>
          <w:tcPr>
            <w:tcW w:w="1134" w:type="dxa"/>
            <w:vMerge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629"/>
        </w:trPr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</w:rPr>
              <w:t>Wnioskodawca złoży wniosek o płatność końcową realizowanej operacji w terminie 9 miesięcy od dnia podpisania umowy o dofinansowanie – 0 albo 4 pkt.</w:t>
            </w:r>
          </w:p>
        </w:tc>
        <w:tc>
          <w:tcPr>
            <w:tcW w:w="1134" w:type="dxa"/>
            <w:vMerge w:val="restart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629"/>
        </w:trPr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Uzasadnienie przyznanej liczby punktów /Uzasadnienie wniesienia uzupełnień w formie dokumentów lub wyjaśnień wraz z podaniem rodzaju dokumentu i charakteru wyjaśnień:</w:t>
            </w:r>
          </w:p>
        </w:tc>
        <w:tc>
          <w:tcPr>
            <w:tcW w:w="1134" w:type="dxa"/>
            <w:vMerge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448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>Liczba wniosków o pomoc złożonych w okresie programowania 2014-2020 przez Wnioskodawcę za pośrednictwem SGR, wybranych przez SGR do dofinansowania i mieszczących się w limicie środków (z wyjątkiem wniosków, od realizacji których odstąpiono w wyniku obniżenia przez Radę SGR kwoty dofinansowania w celu wpisania ich w dostępny w naborze limit środków):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brak wcześniej składanych wniosków o pomoc lub wybranych przez SGR do dofinansowania i mieszczących się w limicie środków – 3 pkt.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1 złożony wcześniej wniosek wybrany przez SGR do dofinansowania i mieszczących się w limicie środków – 1 pkt.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2 lub więcej złożonych wcześniej wniosków wybranych przez SGR do dofinansowania i mieszczących się w limicie środków – 0 pkt.</w:t>
            </w:r>
          </w:p>
          <w:p w:rsidR="00A94FF9" w:rsidRPr="00A94FF9" w:rsidRDefault="00A94FF9" w:rsidP="00A94FF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i/>
                <w:sz w:val="20"/>
                <w:szCs w:val="20"/>
                <w:u w:val="single"/>
              </w:rPr>
              <w:t>Sposób weryfikacji</w:t>
            </w:r>
            <w:r w:rsidRPr="00A94FF9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– listy wniosków wybranych przez SGR do dofinansowania oraz, w przypadku wniosków, od realizacji których odstąpiono w wyniku obniżenia przez Radę SGR kwoty dofinansowania w celu wpisania ich w dostępny w naborze limit środków - kopia informacji wnioskodawcy o odstąpieniu od realizacji operacji ze względu na obniżoną przez SGR kwotę wsparcia wniesionej do UM w terminie 30 dni od przesłania przez SGR wiadomości e-mail z informacją o wynikach naboru wniosków (informacja o rezygnacji z realizacji operacji wniesiona do UM w późniejszym niż ww. termin nie zostanie uwzględniona przy ocenie wniosku).</w:t>
            </w:r>
          </w:p>
        </w:tc>
        <w:tc>
          <w:tcPr>
            <w:tcW w:w="1134" w:type="dxa"/>
            <w:vMerge w:val="restart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448"/>
        </w:trPr>
        <w:tc>
          <w:tcPr>
            <w:tcW w:w="9923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Uzasadnienie przyznanej liczby punktów /Uzasadnienie wniesienia uzupełnień w formie dokumentów lub wyjaśnień wraz z podaniem rodzaju dokumentu i charakteru wyjaśnień:</w:t>
            </w:r>
          </w:p>
        </w:tc>
        <w:tc>
          <w:tcPr>
            <w:tcW w:w="1134" w:type="dxa"/>
            <w:vMerge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7A2CDF">
        <w:trPr>
          <w:trHeight w:val="471"/>
        </w:trPr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>SUMA PUNKTÓW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94FF9" w:rsidRPr="00A94FF9" w:rsidTr="00A94FF9">
        <w:trPr>
          <w:trHeight w:val="520"/>
        </w:trPr>
        <w:tc>
          <w:tcPr>
            <w:tcW w:w="5246" w:type="dxa"/>
            <w:tcBorders>
              <w:top w:val="single" w:sz="4" w:space="0" w:color="000000"/>
            </w:tcBorders>
            <w:shd w:val="clear" w:color="auto" w:fill="F2F2F2"/>
            <w:vAlign w:val="bottom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…………………………………................</w:t>
            </w:r>
          </w:p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data posiedzenia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</w:tcBorders>
            <w:shd w:val="clear" w:color="auto" w:fill="F2F2F2"/>
            <w:vAlign w:val="bottom"/>
          </w:tcPr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…………………………………................</w:t>
            </w:r>
          </w:p>
          <w:p w:rsidR="00A94FF9" w:rsidRPr="00A94FF9" w:rsidRDefault="00A94FF9" w:rsidP="00A94F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czytelny podpis Członka Rady</w:t>
            </w:r>
          </w:p>
        </w:tc>
      </w:tr>
    </w:tbl>
    <w:p w:rsidR="00A94FF9" w:rsidRPr="00A94FF9" w:rsidRDefault="00A94FF9" w:rsidP="00A94FF9">
      <w:bookmarkStart w:id="4" w:name="_GoBack"/>
      <w:bookmarkEnd w:id="4"/>
    </w:p>
    <w:p w:rsidR="00A94FF9" w:rsidRPr="00A94FF9" w:rsidRDefault="00A94FF9" w:rsidP="00A94FF9">
      <w:pPr>
        <w:keepNext/>
        <w:keepLines/>
        <w:numPr>
          <w:ilvl w:val="0"/>
          <w:numId w:val="11"/>
        </w:numPr>
        <w:spacing w:before="200" w:after="0" w:line="240" w:lineRule="auto"/>
        <w:outlineLvl w:val="1"/>
        <w:rPr>
          <w:rFonts w:eastAsia="Calibri" w:cstheme="majorBidi"/>
          <w:b/>
          <w:bCs/>
          <w:sz w:val="28"/>
          <w:szCs w:val="26"/>
          <w:u w:val="single"/>
        </w:rPr>
      </w:pPr>
      <w:r w:rsidRPr="00A94FF9">
        <w:rPr>
          <w:rFonts w:eastAsia="Calibri" w:cstheme="majorBidi"/>
          <w:b/>
          <w:bCs/>
          <w:sz w:val="28"/>
          <w:szCs w:val="26"/>
          <w:u w:val="single"/>
        </w:rPr>
        <w:t>Kryteria wyboru operacji w ramach LSR wraz z procedurą ustalania lub zmiany kryteriów</w:t>
      </w:r>
    </w:p>
    <w:p w:rsidR="00A94FF9" w:rsidRPr="00A94FF9" w:rsidRDefault="00A94FF9" w:rsidP="00A94FF9">
      <w:pPr>
        <w:spacing w:line="240" w:lineRule="auto"/>
        <w:jc w:val="both"/>
        <w:rPr>
          <w:rFonts w:ascii="Calibri" w:eastAsia="Calibri" w:hAnsi="Calibri" w:cs="Times New Roman"/>
          <w:u w:val="single"/>
        </w:rPr>
      </w:pPr>
    </w:p>
    <w:p w:rsidR="00A94FF9" w:rsidRPr="00A94FF9" w:rsidRDefault="00A94FF9" w:rsidP="00A94FF9">
      <w:pPr>
        <w:spacing w:line="240" w:lineRule="auto"/>
        <w:jc w:val="both"/>
        <w:rPr>
          <w:rFonts w:ascii="Calibri" w:eastAsia="Calibri" w:hAnsi="Calibri" w:cs="Times New Roman"/>
          <w:u w:val="single"/>
        </w:rPr>
      </w:pPr>
      <w:r w:rsidRPr="00A94FF9">
        <w:rPr>
          <w:rFonts w:ascii="Calibri" w:eastAsia="Calibri" w:hAnsi="Calibri" w:cs="Times New Roman"/>
          <w:u w:val="single"/>
        </w:rPr>
        <w:t xml:space="preserve">Procedura ustalania lub zmiany kryteriów </w:t>
      </w:r>
    </w:p>
    <w:p w:rsidR="00A94FF9" w:rsidRPr="00A94FF9" w:rsidRDefault="00A94FF9" w:rsidP="00A94FF9">
      <w:pPr>
        <w:spacing w:line="240" w:lineRule="auto"/>
        <w:jc w:val="both"/>
        <w:rPr>
          <w:rFonts w:ascii="Calibri" w:eastAsia="Calibri" w:hAnsi="Calibri" w:cs="Times New Roman"/>
        </w:rPr>
      </w:pPr>
      <w:r w:rsidRPr="00A94FF9">
        <w:rPr>
          <w:rFonts w:ascii="Calibri" w:eastAsia="Calibri" w:hAnsi="Calibri" w:cs="Times New Roman"/>
        </w:rPr>
        <w:t xml:space="preserve">W przypadku ustalenia nowych kryteriów lub zmiany dotychczasowych, proponowane nowe brzmienie kryteriów podawane jest do informacji publicznej poprzez publikację na stronie internetowej Słowińskiej Grupy Rybackiej w celu konsultacji planowanych zmian z lokalną społecznością. Planowane zmiany konsultowane są również z przedstawicielami sektora rybackiego poprzez skierowanie informacji nt. planowanych zmian z prośbą o ustosunkowanie się do nich (pisemne opiniowanie).    </w:t>
      </w:r>
    </w:p>
    <w:p w:rsidR="00A94FF9" w:rsidRPr="00A94FF9" w:rsidRDefault="00A94FF9" w:rsidP="00A94FF9">
      <w:pPr>
        <w:spacing w:line="240" w:lineRule="auto"/>
        <w:jc w:val="both"/>
        <w:rPr>
          <w:rFonts w:ascii="Calibri" w:eastAsia="Calibri" w:hAnsi="Calibri" w:cs="Times New Roman"/>
        </w:rPr>
      </w:pPr>
      <w:r w:rsidRPr="00A94FF9">
        <w:rPr>
          <w:rFonts w:ascii="Calibri" w:eastAsia="Calibri" w:hAnsi="Calibri" w:cs="Times New Roman"/>
        </w:rPr>
        <w:t xml:space="preserve">Uwagi wraz z uzasadnieniem do zaproponowanych kryteriów składane są w formie pisemnej do Biura Słowińskiej Grupy Rybackiej w wyznaczonym terminie.  </w:t>
      </w:r>
    </w:p>
    <w:p w:rsidR="00A94FF9" w:rsidRPr="00A94FF9" w:rsidRDefault="00A94FF9" w:rsidP="00A94FF9">
      <w:pPr>
        <w:spacing w:line="240" w:lineRule="auto"/>
        <w:jc w:val="both"/>
        <w:rPr>
          <w:rFonts w:ascii="Calibri" w:eastAsia="Calibri" w:hAnsi="Calibri" w:cs="Times New Roman"/>
        </w:rPr>
      </w:pPr>
      <w:r w:rsidRPr="00A94FF9">
        <w:rPr>
          <w:rFonts w:ascii="Calibri" w:eastAsia="Calibri" w:hAnsi="Calibri" w:cs="Times New Roman"/>
        </w:rPr>
        <w:t>Po upływie terminu konsultacji Zarząd SGR weryfikuje zgłoszone uwagi i propozycje zmian, w szczególności pod kątem zgodności z przepisami regulującymi wdrażanie lokalnych strategii rozwoju. Propozycje zgłoszonych zmian rozpatrywane są i zatwierdzane w trybie określonym w Statucie.</w:t>
      </w:r>
    </w:p>
    <w:p w:rsidR="00A94FF9" w:rsidRPr="00A94FF9" w:rsidRDefault="00A94FF9" w:rsidP="00A94FF9">
      <w:pPr>
        <w:spacing w:line="240" w:lineRule="auto"/>
        <w:jc w:val="both"/>
        <w:rPr>
          <w:rFonts w:ascii="Calibri" w:eastAsia="Calibri" w:hAnsi="Calibri" w:cs="Times New Roman"/>
        </w:rPr>
      </w:pPr>
      <w:r w:rsidRPr="00A94FF9">
        <w:rPr>
          <w:rFonts w:ascii="Calibri" w:eastAsia="Calibri" w:hAnsi="Calibri" w:cs="Times New Roman"/>
        </w:rPr>
        <w:t>Korekty do Lokalnej Strategii Rozwoju Słowińskiej Grupy Rybackiej, oraz innych dokumentów związanych z realizacją LSR na wezwanie lub zlecenia instytucji zarządzających priorytetem 4 „Zwiększanie zatrudnienia i spójności terytorialnej” objętym Programem Operacyjnym Rybactwo i Morze 2014-2020 oraz poddziałaniem „Wsparcie na wdrażanie operacji w ramach strategii rozwoju lokalnego kierowanego przez społeczność” objętym Programem Rozwoju Obszarów Wiejskich na lata 2014-2020 lub też wynikających ze zmiany aktów prawnych, wytycznych, instrukcji, itp. powiązanych z  ww. Programami, co do zasady nie podlegają konsultacjom społecznym.</w:t>
      </w:r>
    </w:p>
    <w:p w:rsidR="00A94FF9" w:rsidRPr="00A94FF9" w:rsidRDefault="00A94FF9" w:rsidP="00A94FF9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A94FF9">
        <w:rPr>
          <w:rFonts w:ascii="Calibri" w:eastAsia="Calibri" w:hAnsi="Calibri" w:cs="Times New Roman"/>
          <w:b/>
          <w:sz w:val="24"/>
        </w:rPr>
        <w:t>[…]</w:t>
      </w:r>
    </w:p>
    <w:p w:rsidR="00A94FF9" w:rsidRPr="00A94FF9" w:rsidRDefault="00A94FF9" w:rsidP="00A94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b/>
          <w:sz w:val="20"/>
        </w:rPr>
      </w:pPr>
      <w:r w:rsidRPr="00A94FF9">
        <w:rPr>
          <w:rFonts w:ascii="Calibri" w:eastAsia="Calibri" w:hAnsi="Calibri" w:cs="Times New Roman"/>
          <w:b/>
          <w:sz w:val="20"/>
        </w:rPr>
        <w:t>Cel Szczegółowy: 2.3. Zwiększenie atrakcyjności i różnorodności turystycznej obszaru.</w:t>
      </w:r>
    </w:p>
    <w:p w:rsidR="00A94FF9" w:rsidRPr="00A94FF9" w:rsidRDefault="00A94FF9" w:rsidP="00A94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Times New Roman"/>
          <w:b/>
          <w:sz w:val="20"/>
        </w:rPr>
      </w:pPr>
      <w:r w:rsidRPr="00A94FF9">
        <w:rPr>
          <w:rFonts w:ascii="Calibri" w:eastAsia="Calibri" w:hAnsi="Calibri" w:cs="Times New Roman"/>
          <w:b/>
          <w:sz w:val="20"/>
        </w:rPr>
        <w:t>Przedsięwzięcie: 2.3.1. Tworzenie, rozwój i wyposażenie infrastruktury turystycznej i rekreacyjnej historycznie lub terytorialnie związanych z działalnością rybacką.</w:t>
      </w:r>
    </w:p>
    <w:p w:rsidR="00A94FF9" w:rsidRPr="00A94FF9" w:rsidRDefault="00A94FF9" w:rsidP="00A94FF9">
      <w:pPr>
        <w:spacing w:after="0" w:line="240" w:lineRule="auto"/>
        <w:jc w:val="both"/>
        <w:rPr>
          <w:rFonts w:ascii="Calibri" w:eastAsia="Calibri" w:hAnsi="Calibri" w:cs="Times New Roman"/>
          <w:sz w:val="20"/>
        </w:rPr>
      </w:pPr>
    </w:p>
    <w:p w:rsidR="00A94FF9" w:rsidRPr="00A94FF9" w:rsidRDefault="00A94FF9" w:rsidP="00A94FF9">
      <w:pPr>
        <w:spacing w:after="0" w:line="240" w:lineRule="auto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Zakres tematyczny:</w:t>
      </w:r>
    </w:p>
    <w:p w:rsidR="00A94FF9" w:rsidRPr="00A94FF9" w:rsidRDefault="00A94FF9" w:rsidP="00A94FF9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budowa, przebudowa lub wyposażenie ogólnodostępnej infrastruktury turystycznej i rekreacyjnych przy obiektach lub na terenach, gdzie jest lub była prowadzona działalność rybacka,</w:t>
      </w:r>
    </w:p>
    <w:p w:rsidR="00A94FF9" w:rsidRPr="00A94FF9" w:rsidRDefault="00A94FF9" w:rsidP="00A94FF9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modernizacja obiektów lub kompleksów obiektów związanych z tradycją rybacką,</w:t>
      </w:r>
    </w:p>
    <w:p w:rsidR="00A94FF9" w:rsidRPr="00A94FF9" w:rsidRDefault="00A94FF9" w:rsidP="00A94FF9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przebudowa lub adaptacja obiektów służących działalności rybackiej na miejsca wypoczynku i rekreacji,</w:t>
      </w:r>
    </w:p>
    <w:p w:rsidR="00A94FF9" w:rsidRPr="00A94FF9" w:rsidRDefault="00A94FF9" w:rsidP="00A94FF9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budowa, przebudowa lub wyposażenie obiektów infrastruktury turystycznej i rekreacyjno-sportowej, m.in.: ścieżek i przystani rowerowych, przystani wędkarskich, przystani dla jednostek wodnych, itp. na obszarach zależnych od rybactwa;</w:t>
      </w:r>
    </w:p>
    <w:p w:rsidR="00A94FF9" w:rsidRPr="00A94FF9" w:rsidRDefault="00A94FF9" w:rsidP="00A94FF9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tworzenie infrastruktury towarzyszącej obiektom turystycznym i rekreacyjnym,</w:t>
      </w:r>
    </w:p>
    <w:p w:rsidR="00A94FF9" w:rsidRPr="00A94FF9" w:rsidRDefault="00A94FF9" w:rsidP="00A94FF9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budowa, zabezpieczenie i oznakowanie szlaków turystycznych,</w:t>
      </w:r>
    </w:p>
    <w:p w:rsidR="00A94FF9" w:rsidRPr="00A94FF9" w:rsidRDefault="00A94FF9" w:rsidP="00A94FF9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zagospodarowanie terenów nad zbiornikami wodnymi w celu podniesienia ich atrakcyjności turystycznej,</w:t>
      </w:r>
    </w:p>
    <w:p w:rsidR="00A94FF9" w:rsidRPr="00A94FF9" w:rsidRDefault="00A94FF9" w:rsidP="00A94FF9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tworzenie infrastruktury w miejscach atrakcyjnych turystycznie w celu zwiększenia ich dostępności i ułatwienia organizacji wypoczynku i rekreacji na ich terenie,</w:t>
      </w:r>
    </w:p>
    <w:p w:rsidR="00A94FF9" w:rsidRPr="00A94FF9" w:rsidRDefault="00A94FF9" w:rsidP="00A94FF9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tworzenie centrów informacji turystycznej,</w:t>
      </w:r>
    </w:p>
    <w:p w:rsidR="00A94FF9" w:rsidRPr="00A94FF9" w:rsidRDefault="00A94FF9" w:rsidP="00A94FF9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zabezpieczenie i oznakowanie szlaków turystycznych,</w:t>
      </w:r>
    </w:p>
    <w:p w:rsidR="00A94FF9" w:rsidRPr="00A94FF9" w:rsidRDefault="00A94FF9" w:rsidP="00A94FF9">
      <w:pPr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Calibri" w:eastAsia="Calibri" w:hAnsi="Calibri" w:cs="Times New Roman"/>
          <w:sz w:val="20"/>
        </w:rPr>
      </w:pPr>
      <w:r w:rsidRPr="00A94FF9">
        <w:rPr>
          <w:rFonts w:ascii="Calibri" w:eastAsia="Calibri" w:hAnsi="Calibri" w:cs="Times New Roman"/>
          <w:sz w:val="20"/>
        </w:rPr>
        <w:t>renowacja, zabezpieczenie i oznakowanie kąpielisk.</w:t>
      </w:r>
    </w:p>
    <w:p w:rsidR="00A94FF9" w:rsidRPr="00A94FF9" w:rsidRDefault="00A94FF9" w:rsidP="00A94FF9">
      <w:pPr>
        <w:spacing w:after="0" w:line="240" w:lineRule="auto"/>
        <w:jc w:val="both"/>
        <w:rPr>
          <w:rFonts w:ascii="Calibri" w:eastAsia="Calibri" w:hAnsi="Calibri" w:cs="Times New Roman"/>
          <w:sz w:val="20"/>
        </w:rPr>
      </w:pPr>
    </w:p>
    <w:p w:rsidR="00A94FF9" w:rsidRPr="00A94FF9" w:rsidRDefault="00A94FF9" w:rsidP="00A94F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</w:rPr>
      </w:pPr>
      <w:r w:rsidRPr="00A94FF9">
        <w:rPr>
          <w:rFonts w:ascii="Calibri" w:eastAsia="Calibri" w:hAnsi="Calibri" w:cs="Times New Roman"/>
          <w:b/>
          <w:sz w:val="20"/>
        </w:rPr>
        <w:t>Maksymalna ilość punktów w ramach przedsięwzięcia: 25  pkt.</w:t>
      </w:r>
    </w:p>
    <w:p w:rsidR="00A94FF9" w:rsidRPr="00A94FF9" w:rsidRDefault="00A94FF9" w:rsidP="00A94FF9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</w:rPr>
      </w:pPr>
      <w:r w:rsidRPr="00A94FF9">
        <w:rPr>
          <w:rFonts w:ascii="Calibri" w:eastAsia="Calibri" w:hAnsi="Calibri" w:cs="Times New Roman"/>
          <w:i/>
          <w:sz w:val="20"/>
          <w:u w:val="single"/>
        </w:rPr>
        <w:lastRenderedPageBreak/>
        <w:t>Kryterium podstawowe:</w:t>
      </w:r>
      <w:r w:rsidRPr="00A94FF9">
        <w:rPr>
          <w:rFonts w:ascii="Calibri" w:eastAsia="Calibri" w:hAnsi="Calibri" w:cs="Times New Roman"/>
          <w:i/>
          <w:sz w:val="20"/>
        </w:rPr>
        <w:t xml:space="preserve"> Operacja zakłada tworzenie, rozwój lub wyposażenie infrastruktury turystycznej bezpośrednio związanej z rybactwem lub bezpośrednio nawiązującej do sportów wodnych.</w:t>
      </w:r>
    </w:p>
    <w:p w:rsidR="00A94FF9" w:rsidRPr="00A94FF9" w:rsidRDefault="00A94FF9" w:rsidP="00A94FF9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</w:rPr>
      </w:pPr>
      <w:r w:rsidRPr="00A94FF9">
        <w:rPr>
          <w:rFonts w:ascii="Calibri" w:eastAsia="Calibri" w:hAnsi="Calibri" w:cs="Times New Roman"/>
          <w:i/>
          <w:sz w:val="20"/>
          <w:u w:val="single"/>
        </w:rPr>
        <w:t>Kryterium pomocnicze:</w:t>
      </w:r>
      <w:r w:rsidRPr="00A94FF9">
        <w:rPr>
          <w:rFonts w:ascii="Calibri" w:eastAsia="Calibri" w:hAnsi="Calibri" w:cs="Times New Roman"/>
          <w:i/>
          <w:sz w:val="20"/>
        </w:rPr>
        <w:t xml:space="preserve"> Operacja zakłada zastosowanie rozwiązań w zakresie zwiększenia dostępności nowej, modernizowanej lub wyposażonej infrastruktury dla potrzeb osób defaworyzowanych – seniorów i osób niepełnosprawnych.</w:t>
      </w:r>
    </w:p>
    <w:p w:rsidR="00A94FF9" w:rsidRPr="00A94FF9" w:rsidRDefault="00A94FF9" w:rsidP="00A94FF9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94FF9" w:rsidRPr="00A94FF9" w:rsidTr="007A2CDF">
        <w:trPr>
          <w:trHeight w:val="133"/>
          <w:tblHeader/>
        </w:trPr>
        <w:tc>
          <w:tcPr>
            <w:tcW w:w="978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Kryterium </w:t>
            </w:r>
          </w:p>
        </w:tc>
      </w:tr>
      <w:tr w:rsidR="00A94FF9" w:rsidRPr="00A94FF9" w:rsidTr="007A2CDF">
        <w:trPr>
          <w:trHeight w:val="459"/>
        </w:trPr>
        <w:tc>
          <w:tcPr>
            <w:tcW w:w="9781" w:type="dxa"/>
            <w:tcBorders>
              <w:bottom w:val="dotted" w:sz="4" w:space="0" w:color="auto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>Operacja zakłada tworzenie, rozwój lub wyposażenie infrastruktury turystycznej: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bezpośrednio związanej z rybactwem lub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bezpośrednio nawiązującej do sportów wodnych</w:t>
            </w:r>
          </w:p>
          <w:p w:rsidR="00A94FF9" w:rsidRPr="00A94FF9" w:rsidRDefault="00A94FF9" w:rsidP="00A94FF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wówczas otrzymuje 3 pkt.</w:t>
            </w:r>
          </w:p>
        </w:tc>
      </w:tr>
      <w:tr w:rsidR="00A94FF9" w:rsidRPr="00A94FF9" w:rsidTr="007A2CDF">
        <w:trPr>
          <w:trHeight w:val="521"/>
        </w:trPr>
        <w:tc>
          <w:tcPr>
            <w:tcW w:w="9781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>Operacja zakłada zastosowanie rozwiązań w zakresie zwiększenia dostępności nowej, modernizowanej lub wyposażonej infrastruktury dla potrzeb osób defaworyzowanych – seniorów i osób niepełnosprawnych – 0 albo 5 pkt.</w:t>
            </w:r>
          </w:p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Zastosowanie rozwiązań w zakresie zwiększenia dostępności dla potrzeb osób defaworyzowanych – seniorów i osób niepełnosprawnych oznacza m.in.:</w:t>
            </w:r>
          </w:p>
          <w:p w:rsidR="00A94FF9" w:rsidRPr="00A94FF9" w:rsidRDefault="00A94FF9" w:rsidP="00A94FF9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zastosowanie rozwiązań konstrukcyjnych umożliwiających osobom niepełnosprawnym ruchowo dostęp do obiektu oraz pełne korzystanie z niego, np. wykonanie pochylni, podjazdów, dostosowanie toalet, itp.,</w:t>
            </w:r>
          </w:p>
          <w:p w:rsidR="00A94FF9" w:rsidRPr="00A94FF9" w:rsidRDefault="00A94FF9" w:rsidP="00A94FF9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zastosowanie rozwiązań służących bezpieczeństwu osób niepełnosprawnych i seniorów m.in. montaż barierek i oparć w miejscach, w których istnieje zagrożenie dla ich bezpieczeństwa,</w:t>
            </w:r>
          </w:p>
          <w:p w:rsidR="00A94FF9" w:rsidRPr="00A94FF9" w:rsidRDefault="00A94FF9" w:rsidP="00A94FF9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zakup wyposażenia lub jego elementów, w tym małej infrastruktury, gwarantujących osobom starszym komfort w korzystaniu z obiektów i ich otoczenia, np.: podłokietników, regulowanych siedzisk, ławek,</w:t>
            </w:r>
          </w:p>
          <w:p w:rsidR="00A94FF9" w:rsidRPr="00A94FF9" w:rsidRDefault="00A94FF9" w:rsidP="00A94FF9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wyposażenie obiektu w sprzęt uławiający osobom starszym odbiór przekazywanych treści, np. odpowiednie nagłośnienie, wielkość ekranów, urządzenia do indywidualnego użytku cechujące się wysoką jakością obrazu lub dźwięku o wadze i gabarytach dostosowanych do możliwości fizycznych seniorów, itp.,</w:t>
            </w:r>
          </w:p>
          <w:p w:rsidR="00A94FF9" w:rsidRPr="00A94FF9" w:rsidRDefault="00A94FF9" w:rsidP="00A94FF9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 xml:space="preserve">sprzęt i wyposażenie przystosowane do potrzeb osób posiadających określoną niepełnosprawność, np. komputery dla osób niewidomych, sprzęt sportowy dla osób niepełnosprawnych ruchowo, itp. </w:t>
            </w:r>
          </w:p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i/>
                <w:sz w:val="20"/>
                <w:szCs w:val="20"/>
                <w:u w:val="single"/>
              </w:rPr>
              <w:t>Sposób weryfikacji</w:t>
            </w:r>
            <w:r w:rsidRPr="00A94FF9">
              <w:rPr>
                <w:rFonts w:ascii="Calibri" w:eastAsia="Calibri" w:hAnsi="Calibri" w:cs="Times New Roman"/>
                <w:i/>
                <w:sz w:val="20"/>
                <w:szCs w:val="20"/>
              </w:rPr>
              <w:t>: na podstawie zapisów w budżecie lub, jeżeli wnioskodawca posiada własne zasoby spełniające ww. warunki, które włączy w projekt – na podstawie zapisów we wniosku o dofinansowanie.</w:t>
            </w:r>
          </w:p>
        </w:tc>
      </w:tr>
      <w:tr w:rsidR="00A94FF9" w:rsidRPr="00A94FF9" w:rsidTr="007A2CDF">
        <w:trPr>
          <w:trHeight w:val="557"/>
        </w:trPr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Operacja realizowana jest w miejscowości poniżej 1000  mieszkańców – 0 albo </w:t>
            </w:r>
            <w:r w:rsidRPr="00A94FF9">
              <w:rPr>
                <w:rFonts w:ascii="Calibri" w:eastAsia="Calibri" w:hAnsi="Calibri" w:cs="Times New Roman"/>
                <w:b/>
                <w:strike/>
                <w:sz w:val="20"/>
                <w:szCs w:val="20"/>
                <w:highlight w:val="green"/>
              </w:rPr>
              <w:t>2</w:t>
            </w: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</w:t>
            </w: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pkt</w:t>
            </w:r>
            <w:r w:rsidRPr="00A94FF9">
              <w:rPr>
                <w:rFonts w:ascii="Calibri" w:eastAsia="Calibri" w:hAnsi="Calibri" w:cs="Times New Roman"/>
                <w:b/>
                <w:strike/>
                <w:sz w:val="20"/>
                <w:szCs w:val="20"/>
                <w:highlight w:val="green"/>
              </w:rPr>
              <w:t>.</w:t>
            </w:r>
          </w:p>
        </w:tc>
      </w:tr>
      <w:tr w:rsidR="00A94FF9" w:rsidRPr="00A94FF9" w:rsidTr="007A2CDF">
        <w:trPr>
          <w:trHeight w:val="557"/>
        </w:trPr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Operacja jest realizowana w miejscowości, w której dotychczas nie istniała infrastruktura turystyczna – 0 albo 1 pkt</w:t>
            </w:r>
          </w:p>
        </w:tc>
      </w:tr>
      <w:tr w:rsidR="00A94FF9" w:rsidRPr="00A94FF9" w:rsidTr="007A2CDF">
        <w:trPr>
          <w:trHeight w:val="242"/>
        </w:trPr>
        <w:tc>
          <w:tcPr>
            <w:tcW w:w="9781" w:type="dxa"/>
            <w:tcBorders>
              <w:bottom w:val="dotted" w:sz="4" w:space="0" w:color="auto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</w:rPr>
              <w:t>Operacja jest innowacyjna w skali: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obszaru SGR – 4 pkt.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gminy – 2 pkt.</w:t>
            </w:r>
          </w:p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A94FF9">
              <w:rPr>
                <w:rFonts w:ascii="Calibri" w:eastAsia="Calibri" w:hAnsi="Calibri" w:cs="Times New Roman"/>
                <w:sz w:val="20"/>
              </w:rPr>
              <w:t xml:space="preserve">z tym, że </w:t>
            </w:r>
            <w:r w:rsidRPr="00A94FF9">
              <w:rPr>
                <w:rFonts w:ascii="Calibri" w:eastAsia="Calibri" w:hAnsi="Calibri" w:cs="Times New Roman"/>
                <w:sz w:val="20"/>
                <w:u w:val="single"/>
              </w:rPr>
              <w:t>innowacyjność polega na</w:t>
            </w:r>
            <w:r w:rsidRPr="00A94FF9">
              <w:rPr>
                <w:rFonts w:ascii="Calibri" w:eastAsia="Calibri" w:hAnsi="Calibri" w:cs="Times New Roman"/>
                <w:sz w:val="20"/>
              </w:rPr>
              <w:t xml:space="preserve">: 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utworzeniu infrastruktury, której dotychczas nie było w obrębie ww. obszarów lub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nadaniu istniejącej infrastrukturze nowych funkcji i zastosowań, jakich dotychczas nie było w obrębie ww. obszarów lub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wykorzystaniu jej do organizacji wydarzeń promujących obszar w odniesieniu do ww. terenów.</w:t>
            </w:r>
          </w:p>
        </w:tc>
      </w:tr>
      <w:tr w:rsidR="00A94FF9" w:rsidRPr="00A94FF9" w:rsidTr="007A2CDF">
        <w:trPr>
          <w:trHeight w:val="242"/>
        </w:trPr>
        <w:tc>
          <w:tcPr>
            <w:tcW w:w="9781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</w:rPr>
              <w:t>Operacja zakłada tworzenie lub rozwój infrastruktury towarzyszącej (np. oświetlenie, kosze na śmieci, WC, itp.) – 0 albo 4 pkt.</w:t>
            </w:r>
          </w:p>
        </w:tc>
      </w:tr>
      <w:tr w:rsidR="00A94FF9" w:rsidRPr="00A94FF9" w:rsidTr="007A2CDF">
        <w:trPr>
          <w:trHeight w:val="629"/>
        </w:trPr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</w:rPr>
              <w:t>Wnioskodawca złoży wniosek o płatność końcową realizowanej operacji w terminie 9 miesięcy od dnia podpisania umowy o dofinansowanie – 0 albo 4 pkt.</w:t>
            </w:r>
          </w:p>
        </w:tc>
      </w:tr>
      <w:tr w:rsidR="00A94FF9" w:rsidRPr="00A94FF9" w:rsidTr="007A2CDF">
        <w:trPr>
          <w:trHeight w:val="448"/>
        </w:trPr>
        <w:tc>
          <w:tcPr>
            <w:tcW w:w="97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FF9" w:rsidRPr="00A94FF9" w:rsidRDefault="00A94FF9" w:rsidP="00A94FF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b/>
                <w:sz w:val="20"/>
                <w:szCs w:val="20"/>
              </w:rPr>
              <w:t>Liczba wniosków o pomoc złożonych w okresie programowania 2014-2020 przez Wnioskodawcę za pośrednictwem SGR, wybranych przez SGR do dofinansowania i mieszczących się w limicie środków (z wyjątkiem wniosków, od realizacji których odstąpiono w wyniku obniżenia przez Radę SGR kwoty dofinansowania w celu wpisania ich w dostępny w naborze limit środków):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 xml:space="preserve">brak wcześniej składanych wniosków o pomoc lub wybranych przez SGR do dofinansowania i mieszczących się w limicie środków – 3pkt. 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1 złożony wcześniej wniosek wybrany przez SGR do dofinansowania i mieszczących się w limicie środków – 1 pkt.</w:t>
            </w:r>
          </w:p>
          <w:p w:rsidR="00A94FF9" w:rsidRPr="00A94FF9" w:rsidRDefault="00A94FF9" w:rsidP="00A94FF9">
            <w:pPr>
              <w:numPr>
                <w:ilvl w:val="0"/>
                <w:numId w:val="8"/>
              </w:numPr>
              <w:spacing w:after="0" w:line="240" w:lineRule="auto"/>
              <w:ind w:left="459" w:hanging="284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sz w:val="20"/>
                <w:szCs w:val="20"/>
              </w:rPr>
              <w:t>2 lub więcej złożonych wcześniej wniosków wybranych przez SGR do dofinansowania i mieszczących się w limicie środków – 0 pkt.</w:t>
            </w:r>
          </w:p>
          <w:p w:rsidR="00A94FF9" w:rsidRPr="00A94FF9" w:rsidRDefault="00A94FF9" w:rsidP="00A94FF9">
            <w:pPr>
              <w:spacing w:after="0" w:line="240" w:lineRule="auto"/>
              <w:ind w:left="175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94FF9" w:rsidRPr="00A94FF9" w:rsidRDefault="00A94FF9" w:rsidP="00A94F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94FF9">
              <w:rPr>
                <w:rFonts w:ascii="Calibri" w:eastAsia="Calibri" w:hAnsi="Calibri" w:cs="Times New Roman"/>
                <w:i/>
                <w:sz w:val="20"/>
                <w:szCs w:val="20"/>
                <w:u w:val="single"/>
              </w:rPr>
              <w:t>Sposób weryfikacji</w:t>
            </w:r>
            <w:r w:rsidRPr="00A94FF9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– listy wniosków wybranych przez SGR do dofinansowania oraz, w przypadku wniosków, od realizacji których odstąpiono w wyniku obniżenia przez Radę SGR kwoty dofinansowania w celu wpisania ich w dostępny w naborze limit środków - kopia informacji wnioskodawcy o odstąpieniu od realizacji operacji ze względu na obniżoną przez SGR kwotę wsparcia wniesionej do UM w terminie 30 dni od przesłania przez SGR wiadomości e-mail z informacją o wynikach naboru wniosków (informacja o rezygnacji z realizacji operacji wniesiona do UM w późniejszym niż ww. termin nie zostanie uwzględniona przy ocenie wniosku).</w:t>
            </w:r>
          </w:p>
        </w:tc>
      </w:tr>
    </w:tbl>
    <w:p w:rsidR="00A94FF9" w:rsidRPr="00A94FF9" w:rsidRDefault="00A94FF9" w:rsidP="00A94FF9">
      <w:pPr>
        <w:spacing w:after="0" w:line="240" w:lineRule="auto"/>
        <w:jc w:val="both"/>
        <w:rPr>
          <w:sz w:val="2"/>
        </w:rPr>
      </w:pPr>
      <w:r w:rsidRPr="00A94FF9">
        <w:rPr>
          <w:rFonts w:ascii="Calibri" w:eastAsia="Calibri" w:hAnsi="Calibri" w:cs="Times New Roman"/>
          <w:b/>
        </w:rPr>
        <w:lastRenderedPageBreak/>
        <w:t xml:space="preserve"> </w:t>
      </w:r>
    </w:p>
    <w:p w:rsidR="00A94FF9" w:rsidRPr="00A94FF9" w:rsidRDefault="00A94FF9" w:rsidP="00A94FF9">
      <w:pPr>
        <w:jc w:val="center"/>
        <w:rPr>
          <w:b/>
        </w:rPr>
      </w:pPr>
    </w:p>
    <w:sectPr w:rsidR="00A94FF9" w:rsidRPr="00A94FF9" w:rsidSect="00A9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45" w:rsidRDefault="00E23845" w:rsidP="00A94FF9">
      <w:pPr>
        <w:spacing w:after="0" w:line="240" w:lineRule="auto"/>
      </w:pPr>
      <w:r>
        <w:separator/>
      </w:r>
    </w:p>
  </w:endnote>
  <w:endnote w:type="continuationSeparator" w:id="0">
    <w:p w:rsidR="00E23845" w:rsidRDefault="00E23845" w:rsidP="00A9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45" w:rsidRDefault="00E23845" w:rsidP="00A94FF9">
      <w:pPr>
        <w:spacing w:after="0" w:line="240" w:lineRule="auto"/>
      </w:pPr>
      <w:r>
        <w:separator/>
      </w:r>
    </w:p>
  </w:footnote>
  <w:footnote w:type="continuationSeparator" w:id="0">
    <w:p w:rsidR="00E23845" w:rsidRDefault="00E23845" w:rsidP="00A9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F9" w:rsidRPr="00A94FF9" w:rsidRDefault="00A94FF9">
    <w:pPr>
      <w:pStyle w:val="Nagwek"/>
    </w:pPr>
    <w:r>
      <w:t xml:space="preserve">Załącznik nr 1 do uchwały Zarządu nr 41/2018 z dnia 30 października 2018r. w sprawie </w:t>
    </w:r>
    <w:r w:rsidRPr="00A94FF9">
      <w:t>przyjęcia uwag do zmian w treści wskaźników kryteriów oceny operacji i poddaniu ich konsultacjom społecznym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FFA"/>
    <w:multiLevelType w:val="hybridMultilevel"/>
    <w:tmpl w:val="0BFC2A06"/>
    <w:lvl w:ilvl="0" w:tplc="7F3A5A26">
      <w:start w:val="1"/>
      <w:numFmt w:val="upperRoman"/>
      <w:pStyle w:val="Nagwek1"/>
      <w:lvlText w:val="%1."/>
      <w:lvlJc w:val="righ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0D5E"/>
    <w:multiLevelType w:val="hybridMultilevel"/>
    <w:tmpl w:val="E8D4CF02"/>
    <w:lvl w:ilvl="0" w:tplc="FAC0554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F3C30"/>
    <w:multiLevelType w:val="hybridMultilevel"/>
    <w:tmpl w:val="00FC40AC"/>
    <w:lvl w:ilvl="0" w:tplc="435CA794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6CF8"/>
    <w:multiLevelType w:val="hybridMultilevel"/>
    <w:tmpl w:val="57023CF0"/>
    <w:lvl w:ilvl="0" w:tplc="A9CA1F08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B570F6E"/>
    <w:multiLevelType w:val="hybridMultilevel"/>
    <w:tmpl w:val="C47AFC94"/>
    <w:lvl w:ilvl="0" w:tplc="B8E480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31752"/>
    <w:multiLevelType w:val="multilevel"/>
    <w:tmpl w:val="3D58B622"/>
    <w:styleLink w:val="Styl2"/>
    <w:lvl w:ilvl="0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1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E074E7E"/>
    <w:multiLevelType w:val="multilevel"/>
    <w:tmpl w:val="A65804D8"/>
    <w:styleLink w:val="Styl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726B1"/>
    <w:multiLevelType w:val="hybridMultilevel"/>
    <w:tmpl w:val="0A0A967C"/>
    <w:lvl w:ilvl="0" w:tplc="DAC8C24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54A15"/>
    <w:multiLevelType w:val="multilevel"/>
    <w:tmpl w:val="C8841A22"/>
    <w:lvl w:ilvl="0">
      <w:start w:val="1"/>
      <w:numFmt w:val="decimal"/>
      <w:pStyle w:val="Nagwek2"/>
      <w:lvlText w:val="%1."/>
      <w:lvlJc w:val="right"/>
      <w:pPr>
        <w:ind w:left="567" w:hanging="17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71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8E41A0A"/>
    <w:multiLevelType w:val="hybridMultilevel"/>
    <w:tmpl w:val="751C565C"/>
    <w:lvl w:ilvl="0" w:tplc="435CA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A4F99"/>
    <w:multiLevelType w:val="hybridMultilevel"/>
    <w:tmpl w:val="E2044B2E"/>
    <w:lvl w:ilvl="0" w:tplc="FAC05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B1"/>
    <w:rsid w:val="002277A6"/>
    <w:rsid w:val="005209C5"/>
    <w:rsid w:val="00595EB1"/>
    <w:rsid w:val="00840B93"/>
    <w:rsid w:val="00A94FF9"/>
    <w:rsid w:val="00DD041D"/>
    <w:rsid w:val="00E23845"/>
    <w:rsid w:val="00E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EB1"/>
    <w:pPr>
      <w:keepNext/>
      <w:keepLines/>
      <w:numPr>
        <w:numId w:val="4"/>
      </w:numPr>
      <w:spacing w:before="240" w:after="240" w:line="240" w:lineRule="auto"/>
      <w:ind w:left="714" w:hanging="357"/>
      <w:jc w:val="both"/>
      <w:outlineLvl w:val="0"/>
    </w:pPr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5EB1"/>
    <w:pPr>
      <w:keepNext/>
      <w:keepLines/>
      <w:numPr>
        <w:numId w:val="1"/>
      </w:numPr>
      <w:spacing w:before="120" w:after="120" w:line="240" w:lineRule="auto"/>
      <w:jc w:val="both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EB1"/>
    <w:pPr>
      <w:keepNext/>
      <w:keepLines/>
      <w:spacing w:before="240" w:after="0" w:line="240" w:lineRule="auto"/>
      <w:contextualSpacing/>
      <w:jc w:val="both"/>
      <w:outlineLvl w:val="2"/>
    </w:pPr>
    <w:rPr>
      <w:rFonts w:ascii="Calibri" w:eastAsiaTheme="majorEastAsia" w:hAnsi="Calibri" w:cstheme="majorBidi"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5EB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EB1"/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95EB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95EB1"/>
    <w:rPr>
      <w:rFonts w:ascii="Calibri" w:eastAsiaTheme="majorEastAsia" w:hAnsi="Calibri" w:cstheme="majorBidi"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595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595EB1"/>
  </w:style>
  <w:style w:type="paragraph" w:styleId="Akapitzlist">
    <w:name w:val="List Paragraph"/>
    <w:basedOn w:val="Normalny"/>
    <w:uiPriority w:val="34"/>
    <w:qFormat/>
    <w:rsid w:val="00595EB1"/>
    <w:pPr>
      <w:spacing w:after="60" w:line="240" w:lineRule="auto"/>
      <w:ind w:left="720"/>
      <w:contextualSpacing/>
      <w:jc w:val="both"/>
    </w:pPr>
    <w:rPr>
      <w:rFonts w:ascii="Calibri" w:hAnsi="Calibri"/>
    </w:rPr>
  </w:style>
  <w:style w:type="numbering" w:customStyle="1" w:styleId="Styl1">
    <w:name w:val="Styl1"/>
    <w:uiPriority w:val="99"/>
    <w:rsid w:val="00595EB1"/>
    <w:pPr>
      <w:numPr>
        <w:numId w:val="2"/>
      </w:numPr>
    </w:pPr>
  </w:style>
  <w:style w:type="numbering" w:customStyle="1" w:styleId="Styl2">
    <w:name w:val="Styl2"/>
    <w:uiPriority w:val="99"/>
    <w:rsid w:val="00595EB1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5EB1"/>
    <w:pPr>
      <w:spacing w:after="6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EB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95EB1"/>
    <w:pPr>
      <w:spacing w:after="0" w:line="240" w:lineRule="auto"/>
      <w:jc w:val="center"/>
    </w:pPr>
    <w:rPr>
      <w:rFonts w:ascii="Calibri" w:hAnsi="Calibri"/>
      <w:sz w:val="14"/>
    </w:rPr>
  </w:style>
  <w:style w:type="table" w:styleId="Tabela-Siatka">
    <w:name w:val="Table Grid"/>
    <w:basedOn w:val="Standardowy"/>
    <w:uiPriority w:val="59"/>
    <w:rsid w:val="0059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595E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siatkaakcent1">
    <w:name w:val="Light Grid Accent 1"/>
    <w:basedOn w:val="Standardowy"/>
    <w:uiPriority w:val="62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siatka3akcent1">
    <w:name w:val="Medium Grid 3 Accent 1"/>
    <w:basedOn w:val="Standardowy"/>
    <w:uiPriority w:val="69"/>
    <w:rsid w:val="00595EB1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777777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1E62AD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Nagwek">
    <w:name w:val="header"/>
    <w:basedOn w:val="Normalny"/>
    <w:link w:val="NagwekZnak"/>
    <w:uiPriority w:val="99"/>
    <w:unhideWhenUsed/>
    <w:rsid w:val="00595EB1"/>
    <w:pPr>
      <w:tabs>
        <w:tab w:val="center" w:pos="4536"/>
        <w:tab w:val="right" w:pos="9072"/>
      </w:tabs>
      <w:spacing w:after="60" w:line="240" w:lineRule="auto"/>
      <w:jc w:val="both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595EB1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595EB1"/>
    <w:pPr>
      <w:tabs>
        <w:tab w:val="center" w:pos="4536"/>
        <w:tab w:val="right" w:pos="9072"/>
      </w:tabs>
      <w:spacing w:after="60" w:line="240" w:lineRule="auto"/>
      <w:jc w:val="both"/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95EB1"/>
    <w:rPr>
      <w:rFonts w:ascii="Calibri" w:hAnsi="Calibri"/>
    </w:rPr>
  </w:style>
  <w:style w:type="paragraph" w:styleId="Legenda">
    <w:name w:val="caption"/>
    <w:basedOn w:val="Normalny"/>
    <w:next w:val="Normalny"/>
    <w:uiPriority w:val="35"/>
    <w:unhideWhenUsed/>
    <w:qFormat/>
    <w:rsid w:val="00595EB1"/>
    <w:pPr>
      <w:spacing w:line="240" w:lineRule="auto"/>
      <w:jc w:val="both"/>
    </w:pPr>
    <w:rPr>
      <w:rFonts w:ascii="Calibri" w:hAnsi="Calibri"/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595EB1"/>
    <w:pPr>
      <w:spacing w:after="0" w:line="240" w:lineRule="auto"/>
      <w:jc w:val="both"/>
    </w:pPr>
    <w:rPr>
      <w:rFonts w:ascii="Calibri" w:hAnsi="Calibr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5EB1"/>
    <w:rPr>
      <w:rFonts w:ascii="Calibri" w:hAnsi="Calibri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5E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5EB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5EB1"/>
    <w:rPr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59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1">
    <w:name w:val="Medium Shading 1 Accent 1"/>
    <w:basedOn w:val="Standardowy"/>
    <w:uiPriority w:val="63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68A14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redniasiatka3akcent2">
    <w:name w:val="Medium Grid 3 Accent 2"/>
    <w:basedOn w:val="Standardowy"/>
    <w:uiPriority w:val="69"/>
    <w:rsid w:val="00595EB1"/>
    <w:pPr>
      <w:spacing w:after="0" w:line="240" w:lineRule="auto"/>
      <w:jc w:val="center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styleId="Hipercze">
    <w:name w:val="Hyperlink"/>
    <w:basedOn w:val="Domylnaczcionkaakapitu"/>
    <w:uiPriority w:val="99"/>
    <w:unhideWhenUsed/>
    <w:rsid w:val="00595EB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EB1"/>
    <w:pPr>
      <w:spacing w:after="120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EB1"/>
    <w:rPr>
      <w:rFonts w:ascii="Calibri" w:hAnsi="Calibri"/>
      <w:b/>
      <w:bCs/>
      <w:szCs w:val="20"/>
    </w:rPr>
  </w:style>
  <w:style w:type="table" w:styleId="Jasnalistaakcent1">
    <w:name w:val="Light List Accent 1"/>
    <w:basedOn w:val="Standardowy"/>
    <w:uiPriority w:val="61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595EB1"/>
    <w:rPr>
      <w:b/>
      <w:bCs/>
    </w:rPr>
  </w:style>
  <w:style w:type="character" w:customStyle="1" w:styleId="apple-converted-space">
    <w:name w:val="apple-converted-space"/>
    <w:basedOn w:val="Domylnaczcionkaakapitu"/>
    <w:rsid w:val="00595E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E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E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EB1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595E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595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ecieniowanie2akcent1">
    <w:name w:val="Medium Shading 2 Accent 1"/>
    <w:basedOn w:val="Standardowy"/>
    <w:uiPriority w:val="64"/>
    <w:rsid w:val="00595E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ytat">
    <w:name w:val="Quote"/>
    <w:basedOn w:val="Normalny"/>
    <w:next w:val="Normalny"/>
    <w:link w:val="CytatZnak"/>
    <w:uiPriority w:val="29"/>
    <w:qFormat/>
    <w:rsid w:val="00595EB1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95EB1"/>
    <w:rPr>
      <w:rFonts w:eastAsiaTheme="minorEastAsia"/>
      <w:i/>
      <w:iCs/>
      <w:color w:val="000000" w:themeColor="text1"/>
      <w:lang w:eastAsia="pl-PL"/>
    </w:rPr>
  </w:style>
  <w:style w:type="table" w:styleId="Kolorowalistaakcent3">
    <w:name w:val="Colorful List Accent 3"/>
    <w:basedOn w:val="Standardowy"/>
    <w:uiPriority w:val="72"/>
    <w:rsid w:val="00595E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RozdziaI">
    <w:name w:val="Rozdział I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1E62AD"/>
      </w:tcPr>
    </w:tblStylePr>
  </w:style>
  <w:style w:type="table" w:customStyle="1" w:styleId="RozdziaII">
    <w:name w:val="Rozdział II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A1CD3A"/>
      </w:tcPr>
    </w:tblStylePr>
    <w:tblStylePr w:type="firstCol">
      <w:pPr>
        <w:jc w:val="center"/>
      </w:pPr>
      <w:rPr>
        <w:rFonts w:ascii="Calibri" w:hAnsi="Calibri"/>
        <w:b w:val="0"/>
        <w:sz w:val="22"/>
      </w:rPr>
    </w:tblStylePr>
  </w:style>
  <w:style w:type="table" w:customStyle="1" w:styleId="RozdziaIII">
    <w:name w:val="Rozdział III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EC3027"/>
      </w:tcPr>
    </w:tblStylePr>
  </w:style>
  <w:style w:type="table" w:styleId="Ciemnalistaakcent2">
    <w:name w:val="Dark List Accent 2"/>
    <w:basedOn w:val="Standardowy"/>
    <w:uiPriority w:val="70"/>
    <w:rsid w:val="00595E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RozdziaIV">
    <w:name w:val="Rozdział IV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FAAF18"/>
      </w:tcPr>
    </w:tblStylePr>
  </w:style>
  <w:style w:type="table" w:styleId="Ciemnalista">
    <w:name w:val="Dark List"/>
    <w:basedOn w:val="Standardowy"/>
    <w:uiPriority w:val="70"/>
    <w:rsid w:val="00595E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edniasiatka1akcent1">
    <w:name w:val="Medium Grid 1 Accent 1"/>
    <w:basedOn w:val="Standardowy"/>
    <w:uiPriority w:val="67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RozdziaV">
    <w:name w:val="Rozdział V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B03764"/>
      </w:tcPr>
    </w:tblStylePr>
  </w:style>
  <w:style w:type="table" w:customStyle="1" w:styleId="RozdziaVI">
    <w:name w:val="Rozdział VI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60449B"/>
        <w:vAlign w:val="center"/>
      </w:tcPr>
    </w:tblStylePr>
  </w:style>
  <w:style w:type="table" w:customStyle="1" w:styleId="RozdziaVIII">
    <w:name w:val="Rozdział VIII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159A95"/>
      </w:tcPr>
    </w:tblStylePr>
  </w:style>
  <w:style w:type="table" w:customStyle="1" w:styleId="RozdziaIX">
    <w:name w:val="Rozdział IX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F2F2F2" w:themeFill="background1" w:themeFillShade="F2"/>
      </w:tcPr>
    </w:tblStylePr>
    <w:tblStylePr w:type="firstCol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996633"/>
      </w:tcPr>
    </w:tblStylePr>
    <w:tblStylePr w:type="nwCell">
      <w:rPr>
        <w:rFonts w:ascii="Calibri" w:hAnsi="Calibri"/>
        <w:sz w:val="22"/>
      </w:rPr>
      <w:tblPr/>
      <w:tcPr>
        <w:shd w:val="clear" w:color="auto" w:fill="996633"/>
      </w:tcPr>
    </w:tblStylePr>
  </w:style>
  <w:style w:type="table" w:customStyle="1" w:styleId="RozdziaX">
    <w:name w:val="Rozdział X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00B0F0"/>
        <w:vAlign w:val="center"/>
      </w:tcPr>
    </w:tblStylePr>
  </w:style>
  <w:style w:type="table" w:customStyle="1" w:styleId="RozdziaXI">
    <w:name w:val="Rozdział XI"/>
    <w:basedOn w:val="Standardowy"/>
    <w:uiPriority w:val="99"/>
    <w:rsid w:val="00595EB1"/>
    <w:pPr>
      <w:spacing w:after="0" w:line="240" w:lineRule="auto"/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E9236C"/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5EB1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95EB1"/>
    <w:pPr>
      <w:spacing w:after="100" w:line="240" w:lineRule="auto"/>
      <w:jc w:val="both"/>
    </w:pPr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595EB1"/>
    <w:pPr>
      <w:spacing w:after="100" w:line="240" w:lineRule="auto"/>
      <w:ind w:left="220"/>
      <w:jc w:val="both"/>
    </w:pPr>
    <w:rPr>
      <w:rFonts w:ascii="Calibri" w:hAnsi="Calibri"/>
    </w:rPr>
  </w:style>
  <w:style w:type="paragraph" w:styleId="Spistreci3">
    <w:name w:val="toc 3"/>
    <w:basedOn w:val="Normalny"/>
    <w:next w:val="Normalny"/>
    <w:autoRedefine/>
    <w:uiPriority w:val="39"/>
    <w:unhideWhenUsed/>
    <w:rsid w:val="00595EB1"/>
    <w:pPr>
      <w:spacing w:after="100" w:line="240" w:lineRule="auto"/>
      <w:ind w:left="440"/>
      <w:jc w:val="both"/>
    </w:pPr>
    <w:rPr>
      <w:rFonts w:ascii="Calibri" w:hAnsi="Calibri"/>
    </w:rPr>
  </w:style>
  <w:style w:type="paragraph" w:styleId="Spistreci4">
    <w:name w:val="toc 4"/>
    <w:basedOn w:val="Normalny"/>
    <w:next w:val="Normalny"/>
    <w:autoRedefine/>
    <w:uiPriority w:val="39"/>
    <w:unhideWhenUsed/>
    <w:rsid w:val="00595EB1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95EB1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95EB1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95EB1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95EB1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95EB1"/>
    <w:pPr>
      <w:spacing w:after="100"/>
      <w:ind w:left="1760"/>
    </w:pPr>
    <w:rPr>
      <w:rFonts w:eastAsiaTheme="minorEastAsia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595EB1"/>
    <w:pPr>
      <w:spacing w:after="0" w:line="240" w:lineRule="auto"/>
      <w:jc w:val="both"/>
    </w:pPr>
    <w:rPr>
      <w:rFonts w:ascii="Calibri" w:hAnsi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95EB1"/>
    <w:rPr>
      <w:color w:val="800080"/>
      <w:u w:val="single"/>
    </w:rPr>
  </w:style>
  <w:style w:type="paragraph" w:customStyle="1" w:styleId="font5">
    <w:name w:val="font5"/>
    <w:basedOn w:val="Normalny"/>
    <w:rsid w:val="00595EB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595EB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595EB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595E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595E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95EB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595EB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595EB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95E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595E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595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595EB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595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595E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7">
    <w:name w:val="xl137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1">
    <w:name w:val="xl141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2">
    <w:name w:val="xl142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3">
    <w:name w:val="xl143"/>
    <w:basedOn w:val="Normalny"/>
    <w:rsid w:val="00595E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4">
    <w:name w:val="xl144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5">
    <w:name w:val="xl145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95EB1"/>
  </w:style>
  <w:style w:type="character" w:customStyle="1" w:styleId="TematkomentarzaZnak1">
    <w:name w:val="Temat komentarza Znak1"/>
    <w:basedOn w:val="TekstkomentarzaZnak"/>
    <w:uiPriority w:val="99"/>
    <w:semiHidden/>
    <w:rsid w:val="00595EB1"/>
    <w:rPr>
      <w:b/>
      <w:bC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59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siatka3akcent11">
    <w:name w:val="Średnia siatka 3 — akcent 11"/>
    <w:basedOn w:val="Standardowy"/>
    <w:next w:val="redniasiatka3akcent1"/>
    <w:uiPriority w:val="69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4">
    <w:name w:val="A4"/>
    <w:uiPriority w:val="99"/>
    <w:rsid w:val="00595EB1"/>
    <w:rPr>
      <w:color w:val="000000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95EB1"/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595E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EB1"/>
    <w:pPr>
      <w:keepNext/>
      <w:keepLines/>
      <w:numPr>
        <w:numId w:val="4"/>
      </w:numPr>
      <w:spacing w:before="240" w:after="240" w:line="240" w:lineRule="auto"/>
      <w:ind w:left="714" w:hanging="357"/>
      <w:jc w:val="both"/>
      <w:outlineLvl w:val="0"/>
    </w:pPr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5EB1"/>
    <w:pPr>
      <w:keepNext/>
      <w:keepLines/>
      <w:numPr>
        <w:numId w:val="1"/>
      </w:numPr>
      <w:spacing w:before="120" w:after="120" w:line="240" w:lineRule="auto"/>
      <w:jc w:val="both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EB1"/>
    <w:pPr>
      <w:keepNext/>
      <w:keepLines/>
      <w:spacing w:before="240" w:after="0" w:line="240" w:lineRule="auto"/>
      <w:contextualSpacing/>
      <w:jc w:val="both"/>
      <w:outlineLvl w:val="2"/>
    </w:pPr>
    <w:rPr>
      <w:rFonts w:ascii="Calibri" w:eastAsiaTheme="majorEastAsia" w:hAnsi="Calibri" w:cstheme="majorBidi"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5EB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EB1"/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95EB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95EB1"/>
    <w:rPr>
      <w:rFonts w:ascii="Calibri" w:eastAsiaTheme="majorEastAsia" w:hAnsi="Calibri" w:cstheme="majorBidi"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595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595EB1"/>
  </w:style>
  <w:style w:type="paragraph" w:styleId="Akapitzlist">
    <w:name w:val="List Paragraph"/>
    <w:basedOn w:val="Normalny"/>
    <w:uiPriority w:val="34"/>
    <w:qFormat/>
    <w:rsid w:val="00595EB1"/>
    <w:pPr>
      <w:spacing w:after="60" w:line="240" w:lineRule="auto"/>
      <w:ind w:left="720"/>
      <w:contextualSpacing/>
      <w:jc w:val="both"/>
    </w:pPr>
    <w:rPr>
      <w:rFonts w:ascii="Calibri" w:hAnsi="Calibri"/>
    </w:rPr>
  </w:style>
  <w:style w:type="numbering" w:customStyle="1" w:styleId="Styl1">
    <w:name w:val="Styl1"/>
    <w:uiPriority w:val="99"/>
    <w:rsid w:val="00595EB1"/>
    <w:pPr>
      <w:numPr>
        <w:numId w:val="2"/>
      </w:numPr>
    </w:pPr>
  </w:style>
  <w:style w:type="numbering" w:customStyle="1" w:styleId="Styl2">
    <w:name w:val="Styl2"/>
    <w:uiPriority w:val="99"/>
    <w:rsid w:val="00595EB1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5EB1"/>
    <w:pPr>
      <w:spacing w:after="6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EB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95EB1"/>
    <w:pPr>
      <w:spacing w:after="0" w:line="240" w:lineRule="auto"/>
      <w:jc w:val="center"/>
    </w:pPr>
    <w:rPr>
      <w:rFonts w:ascii="Calibri" w:hAnsi="Calibri"/>
      <w:sz w:val="14"/>
    </w:rPr>
  </w:style>
  <w:style w:type="table" w:styleId="Tabela-Siatka">
    <w:name w:val="Table Grid"/>
    <w:basedOn w:val="Standardowy"/>
    <w:uiPriority w:val="59"/>
    <w:rsid w:val="0059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595E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siatkaakcent1">
    <w:name w:val="Light Grid Accent 1"/>
    <w:basedOn w:val="Standardowy"/>
    <w:uiPriority w:val="62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siatka3akcent1">
    <w:name w:val="Medium Grid 3 Accent 1"/>
    <w:basedOn w:val="Standardowy"/>
    <w:uiPriority w:val="69"/>
    <w:rsid w:val="00595EB1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777777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1E62AD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Nagwek">
    <w:name w:val="header"/>
    <w:basedOn w:val="Normalny"/>
    <w:link w:val="NagwekZnak"/>
    <w:uiPriority w:val="99"/>
    <w:unhideWhenUsed/>
    <w:rsid w:val="00595EB1"/>
    <w:pPr>
      <w:tabs>
        <w:tab w:val="center" w:pos="4536"/>
        <w:tab w:val="right" w:pos="9072"/>
      </w:tabs>
      <w:spacing w:after="60" w:line="240" w:lineRule="auto"/>
      <w:jc w:val="both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595EB1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595EB1"/>
    <w:pPr>
      <w:tabs>
        <w:tab w:val="center" w:pos="4536"/>
        <w:tab w:val="right" w:pos="9072"/>
      </w:tabs>
      <w:spacing w:after="60" w:line="240" w:lineRule="auto"/>
      <w:jc w:val="both"/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95EB1"/>
    <w:rPr>
      <w:rFonts w:ascii="Calibri" w:hAnsi="Calibri"/>
    </w:rPr>
  </w:style>
  <w:style w:type="paragraph" w:styleId="Legenda">
    <w:name w:val="caption"/>
    <w:basedOn w:val="Normalny"/>
    <w:next w:val="Normalny"/>
    <w:uiPriority w:val="35"/>
    <w:unhideWhenUsed/>
    <w:qFormat/>
    <w:rsid w:val="00595EB1"/>
    <w:pPr>
      <w:spacing w:line="240" w:lineRule="auto"/>
      <w:jc w:val="both"/>
    </w:pPr>
    <w:rPr>
      <w:rFonts w:ascii="Calibri" w:hAnsi="Calibri"/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595EB1"/>
    <w:pPr>
      <w:spacing w:after="0" w:line="240" w:lineRule="auto"/>
      <w:jc w:val="both"/>
    </w:pPr>
    <w:rPr>
      <w:rFonts w:ascii="Calibri" w:hAnsi="Calibr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5EB1"/>
    <w:rPr>
      <w:rFonts w:ascii="Calibri" w:hAnsi="Calibri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5E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5EB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5EB1"/>
    <w:rPr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59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1">
    <w:name w:val="Medium Shading 1 Accent 1"/>
    <w:basedOn w:val="Standardowy"/>
    <w:uiPriority w:val="63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3">
    <w:name w:val="Medium Grid 3 Accent 3"/>
    <w:basedOn w:val="Standardowy"/>
    <w:uiPriority w:val="69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68A14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redniasiatka3akcent2">
    <w:name w:val="Medium Grid 3 Accent 2"/>
    <w:basedOn w:val="Standardowy"/>
    <w:uiPriority w:val="69"/>
    <w:rsid w:val="00595EB1"/>
    <w:pPr>
      <w:spacing w:after="0" w:line="240" w:lineRule="auto"/>
      <w:jc w:val="center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styleId="Hipercze">
    <w:name w:val="Hyperlink"/>
    <w:basedOn w:val="Domylnaczcionkaakapitu"/>
    <w:uiPriority w:val="99"/>
    <w:unhideWhenUsed/>
    <w:rsid w:val="00595EB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EB1"/>
    <w:pPr>
      <w:spacing w:after="120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EB1"/>
    <w:rPr>
      <w:rFonts w:ascii="Calibri" w:hAnsi="Calibri"/>
      <w:b/>
      <w:bCs/>
      <w:szCs w:val="20"/>
    </w:rPr>
  </w:style>
  <w:style w:type="table" w:styleId="Jasnalistaakcent1">
    <w:name w:val="Light List Accent 1"/>
    <w:basedOn w:val="Standardowy"/>
    <w:uiPriority w:val="61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595EB1"/>
    <w:rPr>
      <w:b/>
      <w:bCs/>
    </w:rPr>
  </w:style>
  <w:style w:type="character" w:customStyle="1" w:styleId="apple-converted-space">
    <w:name w:val="apple-converted-space"/>
    <w:basedOn w:val="Domylnaczcionkaakapitu"/>
    <w:rsid w:val="00595E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E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E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EB1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595EB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595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ecieniowanie2akcent1">
    <w:name w:val="Medium Shading 2 Accent 1"/>
    <w:basedOn w:val="Standardowy"/>
    <w:uiPriority w:val="64"/>
    <w:rsid w:val="00595E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ytat">
    <w:name w:val="Quote"/>
    <w:basedOn w:val="Normalny"/>
    <w:next w:val="Normalny"/>
    <w:link w:val="CytatZnak"/>
    <w:uiPriority w:val="29"/>
    <w:qFormat/>
    <w:rsid w:val="00595EB1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95EB1"/>
    <w:rPr>
      <w:rFonts w:eastAsiaTheme="minorEastAsia"/>
      <w:i/>
      <w:iCs/>
      <w:color w:val="000000" w:themeColor="text1"/>
      <w:lang w:eastAsia="pl-PL"/>
    </w:rPr>
  </w:style>
  <w:style w:type="table" w:styleId="Kolorowalistaakcent3">
    <w:name w:val="Colorful List Accent 3"/>
    <w:basedOn w:val="Standardowy"/>
    <w:uiPriority w:val="72"/>
    <w:rsid w:val="00595EB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RozdziaI">
    <w:name w:val="Rozdział I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1E62AD"/>
      </w:tcPr>
    </w:tblStylePr>
  </w:style>
  <w:style w:type="table" w:customStyle="1" w:styleId="RozdziaII">
    <w:name w:val="Rozdział II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A1CD3A"/>
      </w:tcPr>
    </w:tblStylePr>
    <w:tblStylePr w:type="firstCol">
      <w:pPr>
        <w:jc w:val="center"/>
      </w:pPr>
      <w:rPr>
        <w:rFonts w:ascii="Calibri" w:hAnsi="Calibri"/>
        <w:b w:val="0"/>
        <w:sz w:val="22"/>
      </w:rPr>
    </w:tblStylePr>
  </w:style>
  <w:style w:type="table" w:customStyle="1" w:styleId="RozdziaIII">
    <w:name w:val="Rozdział III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EC3027"/>
      </w:tcPr>
    </w:tblStylePr>
  </w:style>
  <w:style w:type="table" w:styleId="Ciemnalistaakcent2">
    <w:name w:val="Dark List Accent 2"/>
    <w:basedOn w:val="Standardowy"/>
    <w:uiPriority w:val="70"/>
    <w:rsid w:val="00595E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RozdziaIV">
    <w:name w:val="Rozdział IV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FAAF18"/>
      </w:tcPr>
    </w:tblStylePr>
  </w:style>
  <w:style w:type="table" w:styleId="Ciemnalista">
    <w:name w:val="Dark List"/>
    <w:basedOn w:val="Standardowy"/>
    <w:uiPriority w:val="70"/>
    <w:rsid w:val="00595EB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edniasiatka1akcent1">
    <w:name w:val="Medium Grid 1 Accent 1"/>
    <w:basedOn w:val="Standardowy"/>
    <w:uiPriority w:val="67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RozdziaV">
    <w:name w:val="Rozdział V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B03764"/>
      </w:tcPr>
    </w:tblStylePr>
  </w:style>
  <w:style w:type="table" w:customStyle="1" w:styleId="RozdziaVI">
    <w:name w:val="Rozdział VI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60449B"/>
        <w:vAlign w:val="center"/>
      </w:tcPr>
    </w:tblStylePr>
  </w:style>
  <w:style w:type="table" w:customStyle="1" w:styleId="RozdziaVIII">
    <w:name w:val="Rozdział VIII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159A95"/>
      </w:tcPr>
    </w:tblStylePr>
  </w:style>
  <w:style w:type="table" w:customStyle="1" w:styleId="RozdziaIX">
    <w:name w:val="Rozdział IX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F2F2F2" w:themeFill="background1" w:themeFillShade="F2"/>
      </w:tcPr>
    </w:tblStylePr>
    <w:tblStylePr w:type="firstCol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996633"/>
      </w:tcPr>
    </w:tblStylePr>
    <w:tblStylePr w:type="nwCell">
      <w:rPr>
        <w:rFonts w:ascii="Calibri" w:hAnsi="Calibri"/>
        <w:sz w:val="22"/>
      </w:rPr>
      <w:tblPr/>
      <w:tcPr>
        <w:shd w:val="clear" w:color="auto" w:fill="996633"/>
      </w:tcPr>
    </w:tblStylePr>
  </w:style>
  <w:style w:type="table" w:customStyle="1" w:styleId="RozdziaX">
    <w:name w:val="Rozdział X"/>
    <w:basedOn w:val="Standardowy"/>
    <w:uiPriority w:val="99"/>
    <w:rsid w:val="00595EB1"/>
    <w:pPr>
      <w:spacing w:after="0" w:line="240" w:lineRule="auto"/>
      <w:jc w:val="center"/>
    </w:pPr>
    <w:rPr>
      <w:rFonts w:ascii="Calibri" w:hAnsi="Calibr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00B0F0"/>
        <w:vAlign w:val="center"/>
      </w:tcPr>
    </w:tblStylePr>
  </w:style>
  <w:style w:type="table" w:customStyle="1" w:styleId="RozdziaXI">
    <w:name w:val="Rozdział XI"/>
    <w:basedOn w:val="Standardowy"/>
    <w:uiPriority w:val="99"/>
    <w:rsid w:val="00595EB1"/>
    <w:pPr>
      <w:spacing w:after="0" w:line="240" w:lineRule="auto"/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E9236C"/>
      </w:tc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5EB1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95EB1"/>
    <w:pPr>
      <w:spacing w:after="100" w:line="240" w:lineRule="auto"/>
      <w:jc w:val="both"/>
    </w:pPr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595EB1"/>
    <w:pPr>
      <w:spacing w:after="100" w:line="240" w:lineRule="auto"/>
      <w:ind w:left="220"/>
      <w:jc w:val="both"/>
    </w:pPr>
    <w:rPr>
      <w:rFonts w:ascii="Calibri" w:hAnsi="Calibri"/>
    </w:rPr>
  </w:style>
  <w:style w:type="paragraph" w:styleId="Spistreci3">
    <w:name w:val="toc 3"/>
    <w:basedOn w:val="Normalny"/>
    <w:next w:val="Normalny"/>
    <w:autoRedefine/>
    <w:uiPriority w:val="39"/>
    <w:unhideWhenUsed/>
    <w:rsid w:val="00595EB1"/>
    <w:pPr>
      <w:spacing w:after="100" w:line="240" w:lineRule="auto"/>
      <w:ind w:left="440"/>
      <w:jc w:val="both"/>
    </w:pPr>
    <w:rPr>
      <w:rFonts w:ascii="Calibri" w:hAnsi="Calibri"/>
    </w:rPr>
  </w:style>
  <w:style w:type="paragraph" w:styleId="Spistreci4">
    <w:name w:val="toc 4"/>
    <w:basedOn w:val="Normalny"/>
    <w:next w:val="Normalny"/>
    <w:autoRedefine/>
    <w:uiPriority w:val="39"/>
    <w:unhideWhenUsed/>
    <w:rsid w:val="00595EB1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95EB1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95EB1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95EB1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95EB1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95EB1"/>
    <w:pPr>
      <w:spacing w:after="100"/>
      <w:ind w:left="1760"/>
    </w:pPr>
    <w:rPr>
      <w:rFonts w:eastAsiaTheme="minorEastAsia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595EB1"/>
    <w:pPr>
      <w:spacing w:after="0" w:line="240" w:lineRule="auto"/>
      <w:jc w:val="both"/>
    </w:pPr>
    <w:rPr>
      <w:rFonts w:ascii="Calibri" w:hAnsi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95EB1"/>
    <w:rPr>
      <w:color w:val="800080"/>
      <w:u w:val="single"/>
    </w:rPr>
  </w:style>
  <w:style w:type="paragraph" w:customStyle="1" w:styleId="font5">
    <w:name w:val="font5"/>
    <w:basedOn w:val="Normalny"/>
    <w:rsid w:val="00595EB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595EB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595EB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595E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595E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95EB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595EB1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595EB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95E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595E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595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595EB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595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595E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7">
    <w:name w:val="xl137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1">
    <w:name w:val="xl141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2">
    <w:name w:val="xl142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3">
    <w:name w:val="xl143"/>
    <w:basedOn w:val="Normalny"/>
    <w:rsid w:val="00595E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4">
    <w:name w:val="xl144"/>
    <w:basedOn w:val="Normalny"/>
    <w:rsid w:val="00595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5">
    <w:name w:val="xl145"/>
    <w:basedOn w:val="Normalny"/>
    <w:rsid w:val="00595E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595E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595EB1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595E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95EB1"/>
  </w:style>
  <w:style w:type="character" w:customStyle="1" w:styleId="TematkomentarzaZnak1">
    <w:name w:val="Temat komentarza Znak1"/>
    <w:basedOn w:val="TekstkomentarzaZnak"/>
    <w:uiPriority w:val="99"/>
    <w:semiHidden/>
    <w:rsid w:val="00595EB1"/>
    <w:rPr>
      <w:b/>
      <w:bC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59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siatka3akcent11">
    <w:name w:val="Średnia siatka 3 — akcent 11"/>
    <w:basedOn w:val="Standardowy"/>
    <w:next w:val="redniasiatka3akcent1"/>
    <w:uiPriority w:val="69"/>
    <w:rsid w:val="00595EB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4">
    <w:name w:val="A4"/>
    <w:uiPriority w:val="99"/>
    <w:rsid w:val="00595EB1"/>
    <w:rPr>
      <w:color w:val="000000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95EB1"/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595E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2550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2018-11-13T10:50:00Z</dcterms:created>
  <dcterms:modified xsi:type="dcterms:W3CDTF">2018-11-15T06:54:00Z</dcterms:modified>
</cp:coreProperties>
</file>